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Heading"/>
      </w:pPr>
      <w:bookmarkStart w:name="X9b27ce038fc739345a5419cc8dec354bd69ad3f" w:id="0"/>
      <w:r>
        <w:rPr>
          <w:rtl w:val="0"/>
          <w:lang w:val="ru-RU"/>
        </w:rPr>
        <w:t xml:space="preserve">Правовой анализ высказываний Ани Хачатрян </w:t>
      </w:r>
      <w:r>
        <w:rPr>
          <w:rtl w:val="0"/>
        </w:rPr>
        <w:t xml:space="preserve">(25 </w:t>
      </w:r>
      <w:r>
        <w:rPr>
          <w:rtl w:val="0"/>
        </w:rPr>
        <w:t xml:space="preserve">марта </w:t>
      </w:r>
      <w:r>
        <w:rPr>
          <w:rtl w:val="0"/>
        </w:rPr>
        <w:t xml:space="preserve">2025 </w:t>
      </w:r>
      <w:r>
        <w:rPr>
          <w:rtl w:val="0"/>
        </w:rPr>
        <w:t>г</w:t>
      </w:r>
      <w:r>
        <w:rPr>
          <w:rtl w:val="0"/>
        </w:rPr>
        <w:t>.)</w:t>
      </w:r>
    </w:p>
    <w:p>
      <w:pPr>
        <w:pStyle w:val="First Paragraph"/>
      </w:pPr>
      <w:r>
        <w:rPr>
          <w:rFonts w:ascii="Cambria Bold" w:hAnsi="Cambria Bold" w:hint="default"/>
          <w:rtl w:val="0"/>
          <w:lang w:val="en-US"/>
        </w:rPr>
        <w:t>Контекст и суть проблемы</w:t>
      </w:r>
    </w:p>
    <w:p>
      <w:pPr>
        <w:pStyle w:val="Body Text"/>
      </w:pPr>
      <w:r>
        <w:rPr>
          <w:rtl w:val="0"/>
          <w:lang w:val="en-US"/>
        </w:rPr>
        <w:t xml:space="preserve">25 </w:t>
      </w:r>
      <w:r>
        <w:rPr>
          <w:rtl w:val="0"/>
          <w:lang w:val="en-US"/>
        </w:rPr>
        <w:t xml:space="preserve">марта </w:t>
      </w:r>
      <w:r>
        <w:rPr>
          <w:rtl w:val="0"/>
          <w:lang w:val="en-US"/>
        </w:rPr>
        <w:t xml:space="preserve">2025 </w:t>
      </w:r>
      <w:r>
        <w:rPr>
          <w:rtl w:val="0"/>
          <w:lang w:val="en-US"/>
        </w:rPr>
        <w:t>года член Совета старейшин Еревана Ани Хачатрян</w:t>
      </w:r>
      <w:r>
        <w:rPr>
          <w:rStyle w:val="Footnote Reference"/>
          <w:rFonts w:ascii="Cambria" w:cs="Cambria" w:hAnsi="Cambria" w:eastAsia="Cambria"/>
          <w:b w:val="0"/>
          <w:bCs w:val="0"/>
          <w:i w:val="0"/>
          <w:iCs w:val="0"/>
        </w:rPr>
        <w:footnoteReference w:id="1"/>
      </w:r>
      <w:r>
        <w:rPr>
          <w:rtl w:val="0"/>
          <w:lang w:val="en-US"/>
        </w:rPr>
        <w:t xml:space="preserve"> публично выступила возле мэрии во время митинга</w:t>
      </w:r>
      <w:r>
        <w:rPr>
          <w:rStyle w:val="Footnote Reference"/>
          <w:rFonts w:ascii="Cambria" w:cs="Cambria" w:hAnsi="Cambria" w:eastAsia="Cambria"/>
          <w:b w:val="0"/>
          <w:bCs w:val="0"/>
          <w:i w:val="0"/>
          <w:iCs w:val="0"/>
        </w:rPr>
        <w:footnoteReference w:id="2"/>
      </w:r>
      <w:r>
        <w:rPr>
          <w:rtl w:val="0"/>
          <w:lang w:val="en-US"/>
        </w:rPr>
        <w:t xml:space="preserve"> и допустила ксенофобские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уничижительные высказывания в адрес граждан Российской Федерации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назвав участников протеста «</w:t>
      </w:r>
      <w:r>
        <w:rPr>
          <w:rFonts w:ascii="Cambria Bold" w:hAnsi="Cambria Bold" w:hint="default"/>
          <w:rtl w:val="0"/>
          <w:lang w:val="en-US"/>
        </w:rPr>
        <w:t>гнилыми русскими</w:t>
      </w:r>
      <w:r>
        <w:rPr>
          <w:rtl w:val="0"/>
          <w:lang w:val="en-US"/>
        </w:rPr>
        <w:t>»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Эти слова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прозвучавшие от должностного лица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вызвали широкий общественный резонанс и осуждение как разжигающие вражду по национальному признаку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Данное поведение потенциально нарушает ряд норм национального законодательства Армении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международных обязательств страны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а также принципы этики публичной службы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Ниже приводится всесторонний правовой анализ ситуации с указанием конкретных статей законов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прецедентов и возможных мер реагирования</w:t>
      </w:r>
      <w:r>
        <w:rPr>
          <w:rtl w:val="0"/>
          <w:lang w:val="en-US"/>
        </w:rPr>
        <w:t>.</w:t>
      </w:r>
    </w:p>
    <w:p>
      <w:pPr>
        <w:pStyle w:val="Body Text"/>
      </w:pPr>
      <w:r>
        <w:rPr>
          <w:rFonts w:ascii="Cambria Bold" w:hAnsi="Cambria Bold"/>
          <w:rtl w:val="0"/>
          <w:lang w:val="en-US"/>
        </w:rPr>
        <w:t xml:space="preserve">1. </w:t>
      </w:r>
      <w:r>
        <w:rPr>
          <w:rFonts w:ascii="Cambria Bold" w:hAnsi="Cambria Bold" w:hint="default"/>
          <w:rtl w:val="0"/>
          <w:lang w:val="en-US"/>
        </w:rPr>
        <w:t>Нарушения законодательства Республики Армения</w:t>
      </w:r>
    </w:p>
    <w:p>
      <w:pPr>
        <w:pStyle w:val="Body Text"/>
      </w:pPr>
      <w:r>
        <w:rPr>
          <w:rFonts w:ascii="Cambria Bold" w:hAnsi="Cambria Bold"/>
          <w:rtl w:val="0"/>
          <w:lang w:val="en-US"/>
        </w:rPr>
        <w:t xml:space="preserve">1.1 </w:t>
      </w:r>
      <w:r>
        <w:rPr>
          <w:rFonts w:ascii="Cambria Bold" w:hAnsi="Cambria Bold" w:hint="default"/>
          <w:rtl w:val="0"/>
          <w:lang w:val="en-US"/>
        </w:rPr>
        <w:t>Конституция РА и антидискриминационные нормы</w:t>
      </w:r>
    </w:p>
    <w:p>
      <w:pPr>
        <w:pStyle w:val="Body Text"/>
      </w:pPr>
      <w:r>
        <w:rPr>
          <w:rFonts w:ascii="Cambria Bold" w:hAnsi="Cambria Bold" w:hint="default"/>
          <w:rtl w:val="0"/>
          <w:lang w:val="en-US"/>
        </w:rPr>
        <w:t>Принцип равенства</w:t>
      </w:r>
      <w:r>
        <w:rPr>
          <w:rFonts w:ascii="Cambria Bold" w:hAnsi="Cambria Bold"/>
          <w:rtl w:val="0"/>
          <w:lang w:val="en-US"/>
        </w:rPr>
        <w:t>:</w:t>
      </w:r>
      <w:r>
        <w:rPr>
          <w:rtl w:val="0"/>
          <w:lang w:val="en-US"/>
        </w:rPr>
        <w:t xml:space="preserve"> Конституция Республики Армения гарантирует равенство прав и недопустимость дискриминации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В частности</w:t>
      </w:r>
      <w:r>
        <w:rPr>
          <w:rtl w:val="0"/>
          <w:lang w:val="en-US"/>
        </w:rPr>
        <w:t xml:space="preserve">, </w:t>
      </w:r>
      <w:r>
        <w:rPr>
          <w:rFonts w:ascii="Cambria Bold" w:hAnsi="Cambria Bold" w:hint="default"/>
          <w:rtl w:val="0"/>
          <w:lang w:val="en-US"/>
        </w:rPr>
        <w:t xml:space="preserve">статья </w:t>
      </w:r>
      <w:r>
        <w:rPr>
          <w:rFonts w:ascii="Cambria Bold" w:hAnsi="Cambria Bold"/>
          <w:rtl w:val="0"/>
          <w:lang w:val="en-US"/>
        </w:rPr>
        <w:t xml:space="preserve">29 </w:t>
      </w:r>
      <w:r>
        <w:rPr>
          <w:rFonts w:ascii="Cambria Bold" w:hAnsi="Cambria Bold" w:hint="default"/>
          <w:rtl w:val="0"/>
          <w:lang w:val="en-US"/>
        </w:rPr>
        <w:t>Конституции РА</w:t>
      </w:r>
      <w:r>
        <w:rPr>
          <w:rStyle w:val="Footnote Reference"/>
          <w:rFonts w:ascii="Cambria" w:cs="Cambria" w:hAnsi="Cambria" w:eastAsia="Cambria"/>
          <w:b w:val="0"/>
          <w:bCs w:val="0"/>
          <w:i w:val="0"/>
          <w:iCs w:val="0"/>
        </w:rPr>
        <w:footnoteReference w:id="3"/>
      </w:r>
      <w:r>
        <w:rPr>
          <w:rtl w:val="0"/>
          <w:lang w:val="en-US"/>
        </w:rPr>
        <w:t xml:space="preserve"> запрещает дискриминацию по признакам расы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цвета кожи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этнического или социального происхождения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языка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религии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политических или иных взглядов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принадлежности к национальному меньшинству и другим обстоятельствам личного или социального характера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Высказывание Хачатрян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содержащее оскорбление по национальному признаку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«гнилые русские»</w:t>
      </w:r>
      <w:r>
        <w:rPr>
          <w:rtl w:val="0"/>
          <w:lang w:val="en-US"/>
        </w:rPr>
        <w:t xml:space="preserve">), </w:t>
      </w:r>
      <w:r>
        <w:rPr>
          <w:rtl w:val="0"/>
          <w:lang w:val="en-US"/>
        </w:rPr>
        <w:t>явно противоречит этому конституционному запрету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 xml:space="preserve">Оно унижает достоинство людей по признаку их </w:t>
      </w:r>
      <w:r>
        <w:rPr>
          <w:rFonts w:ascii="Cambria Bold" w:hAnsi="Cambria Bold" w:hint="default"/>
          <w:rtl w:val="0"/>
          <w:lang w:val="en-US"/>
        </w:rPr>
        <w:t>национальности</w:t>
      </w:r>
      <w:r>
        <w:rPr>
          <w:rFonts w:ascii="Cambria Bold" w:hAnsi="Cambria Bold"/>
          <w:rtl w:val="0"/>
          <w:lang w:val="en-US"/>
        </w:rPr>
        <w:t>/</w:t>
      </w:r>
      <w:r>
        <w:rPr>
          <w:rFonts w:ascii="Cambria Bold" w:hAnsi="Cambria Bold" w:hint="default"/>
          <w:rtl w:val="0"/>
          <w:lang w:val="en-US"/>
        </w:rPr>
        <w:t>гражданства</w:t>
      </w:r>
      <w:r>
        <w:rPr>
          <w:rtl w:val="0"/>
          <w:lang w:val="en-US"/>
        </w:rPr>
        <w:t xml:space="preserve"> и нарушает принцип равенства </w:t>
      </w:r>
      <w:r>
        <w:rPr>
          <w:rFonts w:ascii="Cambria Bold" w:hAnsi="Cambria Bold" w:hint="default"/>
          <w:rtl w:val="0"/>
          <w:lang w:val="en-US"/>
        </w:rPr>
        <w:t>всех лиц перед законом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Как отмечается в открытом заявлении гражданского общества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слова Хачатрян нарушают конституционный принцип равенства всех граждан независимо от их гражданства или этнической принадлежности</w:t>
      </w:r>
      <w:r>
        <w:rPr>
          <w:rtl w:val="0"/>
          <w:lang w:val="en-US"/>
        </w:rPr>
        <w:t>.</w:t>
      </w:r>
    </w:p>
    <w:p>
      <w:pPr>
        <w:pStyle w:val="Body Text"/>
      </w:pPr>
      <w:r>
        <w:rPr>
          <w:rFonts w:ascii="Cambria Bold" w:hAnsi="Cambria Bold" w:hint="default"/>
          <w:rtl w:val="0"/>
          <w:lang w:val="en-US"/>
        </w:rPr>
        <w:t>Право на достоинство</w:t>
      </w:r>
      <w:r>
        <w:rPr>
          <w:rFonts w:ascii="Cambria Bold" w:hAnsi="Cambria Bold"/>
          <w:rtl w:val="0"/>
          <w:lang w:val="en-US"/>
        </w:rPr>
        <w:t>:</w:t>
      </w:r>
      <w:r>
        <w:rPr>
          <w:rtl w:val="0"/>
          <w:lang w:val="en-US"/>
        </w:rPr>
        <w:t xml:space="preserve"> Стоит отметить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что Конституция РА провозглашает человеческое достоинство </w:t>
      </w:r>
      <w:r>
        <w:rPr>
          <w:rFonts w:ascii="Cambria Bold" w:hAnsi="Cambria Bold" w:hint="default"/>
          <w:rtl w:val="0"/>
          <w:lang w:val="en-US"/>
        </w:rPr>
        <w:t>неумолимым</w:t>
      </w:r>
      <w:r>
        <w:rPr>
          <w:rtl w:val="0"/>
          <w:lang w:val="en-US"/>
        </w:rPr>
        <w:t xml:space="preserve"> (</w:t>
      </w:r>
      <w:r>
        <w:rPr>
          <w:rtl w:val="0"/>
          <w:lang w:val="en-US"/>
        </w:rPr>
        <w:t>ст</w:t>
      </w:r>
      <w:r>
        <w:rPr>
          <w:rtl w:val="0"/>
          <w:lang w:val="en-US"/>
        </w:rPr>
        <w:t xml:space="preserve">. 23 </w:t>
      </w:r>
      <w:r>
        <w:rPr>
          <w:rtl w:val="0"/>
          <w:lang w:val="en-US"/>
        </w:rPr>
        <w:t>Конституции</w:t>
      </w:r>
      <w:r>
        <w:rPr>
          <w:rStyle w:val="Footnote Reference"/>
          <w:rFonts w:ascii="Cambria" w:cs="Cambria" w:hAnsi="Cambria" w:eastAsia="Cambria"/>
          <w:b w:val="0"/>
          <w:bCs w:val="0"/>
          <w:i w:val="0"/>
          <w:iCs w:val="0"/>
        </w:rPr>
        <w:footnoteReference w:id="4"/>
      </w:r>
      <w:r>
        <w:rPr>
          <w:rtl w:val="0"/>
          <w:lang w:val="en-US"/>
        </w:rPr>
        <w:t xml:space="preserve">). </w:t>
      </w:r>
      <w:r>
        <w:rPr>
          <w:rtl w:val="0"/>
          <w:lang w:val="en-US"/>
        </w:rPr>
        <w:t>Публичное оскорбление группы лиц по национальному признаку может рассматриваться как покушение на их достоинство и равные права</w:t>
      </w:r>
      <w:r>
        <w:rPr>
          <w:rtl w:val="0"/>
          <w:lang w:val="en-US"/>
        </w:rPr>
        <w:t>.</w:t>
      </w:r>
    </w:p>
    <w:p>
      <w:pPr>
        <w:pStyle w:val="Body Text"/>
      </w:pPr>
      <w:r>
        <w:rPr>
          <w:rFonts w:ascii="Cambria Bold" w:hAnsi="Cambria Bold"/>
          <w:rtl w:val="0"/>
          <w:lang w:val="en-US"/>
        </w:rPr>
        <w:t xml:space="preserve">1.2 </w:t>
      </w:r>
      <w:r>
        <w:rPr>
          <w:rFonts w:ascii="Cambria Bold" w:hAnsi="Cambria Bold" w:hint="default"/>
          <w:rtl w:val="0"/>
          <w:lang w:val="en-US"/>
        </w:rPr>
        <w:t xml:space="preserve">Уголовный кодекс Армении </w:t>
      </w:r>
      <w:r>
        <w:rPr>
          <w:rFonts w:ascii="Cambria Bold" w:hAnsi="Cambria Bold"/>
          <w:rtl w:val="0"/>
          <w:lang w:val="en-US"/>
        </w:rPr>
        <w:t>(</w:t>
      </w:r>
      <w:r>
        <w:rPr>
          <w:rFonts w:ascii="Cambria Bold" w:hAnsi="Cambria Bold" w:hint="default"/>
          <w:rtl w:val="0"/>
          <w:lang w:val="en-US"/>
        </w:rPr>
        <w:t>разжигание вражды</w:t>
      </w:r>
      <w:r>
        <w:rPr>
          <w:rFonts w:ascii="Cambria Bold" w:hAnsi="Cambria Bold"/>
          <w:rtl w:val="0"/>
          <w:lang w:val="en-US"/>
        </w:rPr>
        <w:t xml:space="preserve">, </w:t>
      </w:r>
      <w:r>
        <w:rPr>
          <w:rFonts w:ascii="Cambria Bold" w:hAnsi="Cambria Bold" w:hint="default"/>
          <w:rtl w:val="0"/>
          <w:lang w:val="en-US"/>
        </w:rPr>
        <w:t>дискриминация и др</w:t>
      </w:r>
      <w:r>
        <w:rPr>
          <w:rFonts w:ascii="Cambria Bold" w:hAnsi="Cambria Bold"/>
          <w:rtl w:val="0"/>
          <w:lang w:val="en-US"/>
        </w:rPr>
        <w:t>.)</w:t>
      </w:r>
    </w:p>
    <w:p>
      <w:pPr>
        <w:pStyle w:val="Body Text"/>
      </w:pPr>
      <w:r>
        <w:rPr>
          <w:rtl w:val="0"/>
          <w:lang w:val="en-US"/>
        </w:rPr>
        <w:t>Действия Ани Хачатрян могут подпадать под положения Уголовного кодекса РА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которые предусматривают ответственность за разжигание национальной вражды и ненависти</w:t>
      </w:r>
      <w:r>
        <w:rPr>
          <w:rtl w:val="0"/>
          <w:lang w:val="en-US"/>
        </w:rPr>
        <w:t>:</w:t>
      </w:r>
    </w:p>
    <w:p>
      <w:pPr>
        <w:pStyle w:val="Body Text"/>
      </w:pPr>
      <w:r>
        <w:rPr>
          <w:rtl w:val="0"/>
          <w:lang w:val="en-US"/>
        </w:rPr>
        <w:t xml:space="preserve">• </w:t>
      </w:r>
      <w:r>
        <w:rPr>
          <w:rFonts w:ascii="Cambria Bold" w:hAnsi="Cambria Bold" w:hint="default"/>
          <w:rtl w:val="0"/>
          <w:lang w:val="en-US"/>
        </w:rPr>
        <w:t>Разжигание ненависти или вражды</w:t>
      </w:r>
      <w:r>
        <w:rPr>
          <w:rFonts w:ascii="Cambria Bold" w:hAnsi="Cambria Bold"/>
          <w:rtl w:val="0"/>
          <w:lang w:val="en-US"/>
        </w:rPr>
        <w:t>:</w:t>
      </w:r>
      <w:r>
        <w:rPr>
          <w:rtl w:val="0"/>
          <w:lang w:val="en-US"/>
        </w:rPr>
        <w:t xml:space="preserve"> В новом Уголовном кодексе РА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 xml:space="preserve">в редакции </w:t>
      </w:r>
      <w:r>
        <w:rPr>
          <w:rtl w:val="0"/>
          <w:lang w:val="en-US"/>
        </w:rPr>
        <w:t xml:space="preserve">2022 </w:t>
      </w:r>
      <w:r>
        <w:rPr>
          <w:rtl w:val="0"/>
          <w:lang w:val="en-US"/>
        </w:rPr>
        <w:t>года</w:t>
      </w:r>
      <w:r>
        <w:rPr>
          <w:rtl w:val="0"/>
          <w:lang w:val="en-US"/>
        </w:rPr>
        <w:t xml:space="preserve">) </w:t>
      </w:r>
      <w:r>
        <w:rPr>
          <w:rtl w:val="0"/>
          <w:lang w:val="en-US"/>
        </w:rPr>
        <w:t>имеется статья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аналогичная прежней ст</w:t>
      </w:r>
      <w:r>
        <w:rPr>
          <w:rtl w:val="0"/>
          <w:lang w:val="en-US"/>
        </w:rPr>
        <w:t>. 226</w:t>
      </w:r>
      <w:r>
        <w:rPr>
          <w:rStyle w:val="Footnote Reference"/>
          <w:rFonts w:ascii="Cambria" w:cs="Cambria" w:hAnsi="Cambria" w:eastAsia="Cambria"/>
          <w:b w:val="0"/>
          <w:bCs w:val="0"/>
          <w:i w:val="0"/>
          <w:iCs w:val="0"/>
        </w:rPr>
        <w:footnoteReference w:id="5"/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устанавливающая наказание за публичные действия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направленные на возбуждение ненависти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вражды либо унижение достоинства лица или группы лиц по признаку национальности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этнической принадлежности и т</w:t>
      </w:r>
      <w:r>
        <w:rPr>
          <w:rtl w:val="0"/>
          <w:lang w:val="en-US"/>
        </w:rPr>
        <w:t>.</w:t>
      </w:r>
      <w:r>
        <w:rPr>
          <w:rtl w:val="0"/>
          <w:lang w:val="en-US"/>
        </w:rPr>
        <w:t>д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В частности</w:t>
      </w:r>
      <w:r>
        <w:rPr>
          <w:rtl w:val="0"/>
          <w:lang w:val="en-US"/>
        </w:rPr>
        <w:t xml:space="preserve">, </w:t>
      </w:r>
      <w:r>
        <w:rPr>
          <w:rFonts w:ascii="Cambria Bold" w:hAnsi="Cambria Bold" w:hint="default"/>
          <w:rtl w:val="0"/>
          <w:lang w:val="en-US"/>
        </w:rPr>
        <w:t xml:space="preserve">статья </w:t>
      </w:r>
      <w:r>
        <w:rPr>
          <w:rFonts w:ascii="Cambria Bold" w:hAnsi="Cambria Bold"/>
          <w:rtl w:val="0"/>
          <w:lang w:val="en-US"/>
        </w:rPr>
        <w:t xml:space="preserve">329 </w:t>
      </w:r>
      <w:r>
        <w:rPr>
          <w:rFonts w:ascii="Cambria Bold" w:hAnsi="Cambria Bold" w:hint="default"/>
          <w:rtl w:val="0"/>
          <w:lang w:val="en-US"/>
        </w:rPr>
        <w:t>УК РА</w:t>
      </w:r>
      <w:r>
        <w:rPr>
          <w:rStyle w:val="Footnote Reference"/>
          <w:rFonts w:ascii="Cambria" w:cs="Cambria" w:hAnsi="Cambria" w:eastAsia="Cambria"/>
          <w:b w:val="0"/>
          <w:bCs w:val="0"/>
          <w:i w:val="0"/>
          <w:iCs w:val="0"/>
        </w:rPr>
        <w:footnoteReference w:id="6"/>
      </w:r>
      <w:r>
        <w:rPr>
          <w:rtl w:val="0"/>
          <w:lang w:val="en-US"/>
        </w:rPr>
        <w:t xml:space="preserve"> предусматривает </w:t>
      </w:r>
      <w:r>
        <w:rPr>
          <w:rFonts w:ascii="Cambria Bold" w:hAnsi="Cambria Bold" w:hint="default"/>
          <w:rtl w:val="0"/>
          <w:lang w:val="en-US"/>
        </w:rPr>
        <w:t>уголовную ответственность за публичные высказывания</w:t>
      </w:r>
      <w:r>
        <w:rPr>
          <w:rFonts w:ascii="Cambria Bold" w:hAnsi="Cambria Bold"/>
          <w:rtl w:val="0"/>
          <w:lang w:val="en-US"/>
        </w:rPr>
        <w:t xml:space="preserve">, </w:t>
      </w:r>
      <w:r>
        <w:rPr>
          <w:rFonts w:ascii="Cambria Bold" w:hAnsi="Cambria Bold" w:hint="default"/>
          <w:rtl w:val="0"/>
          <w:lang w:val="en-US"/>
        </w:rPr>
        <w:t>направленные на разжигание ненависти</w:t>
      </w:r>
      <w:r>
        <w:rPr>
          <w:rFonts w:ascii="Cambria Bold" w:hAnsi="Cambria Bold"/>
          <w:rtl w:val="0"/>
          <w:lang w:val="en-US"/>
        </w:rPr>
        <w:t xml:space="preserve">, </w:t>
      </w:r>
      <w:r>
        <w:rPr>
          <w:rFonts w:ascii="Cambria Bold" w:hAnsi="Cambria Bold" w:hint="default"/>
          <w:rtl w:val="0"/>
          <w:lang w:val="en-US"/>
        </w:rPr>
        <w:t>дискриминации</w:t>
      </w:r>
      <w:r>
        <w:rPr>
          <w:rFonts w:ascii="Cambria Bold" w:hAnsi="Cambria Bold"/>
          <w:rtl w:val="0"/>
          <w:lang w:val="en-US"/>
        </w:rPr>
        <w:t xml:space="preserve">, </w:t>
      </w:r>
      <w:r>
        <w:rPr>
          <w:rFonts w:ascii="Cambria Bold" w:hAnsi="Cambria Bold" w:hint="default"/>
          <w:rtl w:val="0"/>
          <w:lang w:val="en-US"/>
        </w:rPr>
        <w:t>нетерпимости или вражды</w:t>
      </w:r>
      <w:r>
        <w:rPr>
          <w:rtl w:val="0"/>
          <w:lang w:val="en-US"/>
        </w:rPr>
        <w:t xml:space="preserve"> в отношении лица или группы лиц по определенным признакам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Из высказываний Хачатрян усматриваются признаки именно такого деяния – публичного возбуждения ненависти и вражды по национальному признаку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Она фактически противопоставила себя группе «русских» жителей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назвала их уничижительным эпитетом и выразила агрессию на основе этнического стереотипа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что подпадает под понятие </w:t>
      </w:r>
      <w:r>
        <w:rPr>
          <w:rFonts w:ascii="Cambria Bold" w:hAnsi="Cambria Bold" w:hint="default"/>
          <w:rtl w:val="0"/>
          <w:lang w:val="en-US"/>
        </w:rPr>
        <w:t>языка вражды</w:t>
      </w:r>
      <w:r>
        <w:rPr>
          <w:rtl w:val="0"/>
          <w:lang w:val="en-US"/>
        </w:rPr>
        <w:t>.</w:t>
      </w:r>
    </w:p>
    <w:p>
      <w:pPr>
        <w:pStyle w:val="Body Text"/>
      </w:pPr>
      <w:r>
        <w:rPr>
          <w:rtl w:val="0"/>
          <w:lang w:val="en-US"/>
        </w:rPr>
        <w:t xml:space="preserve">• </w:t>
      </w:r>
      <w:r>
        <w:rPr>
          <w:rFonts w:ascii="Cambria Bold" w:hAnsi="Cambria Bold" w:hint="default"/>
          <w:rtl w:val="0"/>
          <w:lang w:val="en-US"/>
        </w:rPr>
        <w:t>Состав преступления</w:t>
      </w:r>
      <w:r>
        <w:rPr>
          <w:rFonts w:ascii="Cambria Bold" w:hAnsi="Cambria Bold"/>
          <w:rtl w:val="0"/>
          <w:lang w:val="en-US"/>
        </w:rPr>
        <w:t>:</w:t>
      </w:r>
      <w:r>
        <w:rPr>
          <w:rtl w:val="0"/>
          <w:lang w:val="en-US"/>
        </w:rPr>
        <w:t xml:space="preserve"> Согласно ст</w:t>
      </w:r>
      <w:r>
        <w:rPr>
          <w:rtl w:val="0"/>
          <w:lang w:val="en-US"/>
        </w:rPr>
        <w:t xml:space="preserve">. 329 </w:t>
      </w:r>
      <w:r>
        <w:rPr>
          <w:rtl w:val="0"/>
          <w:lang w:val="en-US"/>
        </w:rPr>
        <w:t>УК</w:t>
      </w:r>
      <w:r>
        <w:rPr>
          <w:rStyle w:val="Footnote Reference"/>
          <w:rFonts w:ascii="Cambria" w:cs="Cambria" w:hAnsi="Cambria" w:eastAsia="Cambria"/>
          <w:b w:val="0"/>
          <w:bCs w:val="0"/>
          <w:i w:val="0"/>
          <w:iCs w:val="0"/>
        </w:rPr>
        <w:footnoteReference w:id="7"/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преступление считается оконченным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если налицо </w:t>
      </w:r>
      <w:r>
        <w:rPr>
          <w:rFonts w:ascii="Cambria Bold" w:hAnsi="Cambria Bold" w:hint="default"/>
          <w:rtl w:val="0"/>
          <w:lang w:val="en-US"/>
        </w:rPr>
        <w:t>публичная речь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направленная на </w:t>
      </w:r>
      <w:r>
        <w:rPr>
          <w:rFonts w:ascii="Cambria Bold" w:hAnsi="Cambria Bold" w:hint="default"/>
          <w:rtl w:val="0"/>
          <w:lang w:val="en-US"/>
        </w:rPr>
        <w:t>разжигание ненависти или вражды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В словах «гнилые русские» прослеживается призыв к враждебному отношению и унижение группы лиц по национальному признаку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Отягчающим обстоятельством может служить</w:t>
      </w:r>
      <w:r>
        <w:rPr>
          <w:rtl w:val="0"/>
          <w:lang w:val="en-US"/>
        </w:rPr>
        <w:t xml:space="preserve">: 1. </w:t>
      </w:r>
      <w:r>
        <w:rPr>
          <w:rtl w:val="0"/>
          <w:lang w:val="en-US"/>
        </w:rPr>
        <w:t>То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что это совершено должностным лицом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пользующимся авторитетом власти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и в контексте противодействия мирному протесту граждан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п</w:t>
      </w:r>
      <w:r>
        <w:rPr>
          <w:rtl w:val="0"/>
          <w:lang w:val="en-US"/>
        </w:rPr>
        <w:t xml:space="preserve">.2.2); 2. </w:t>
      </w:r>
      <w:r>
        <w:rPr>
          <w:rtl w:val="0"/>
          <w:lang w:val="en-US"/>
        </w:rPr>
        <w:t>То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что это совершено с использованием средств массовой информации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 xml:space="preserve">прямая видеотрансляция </w:t>
      </w:r>
      <w:r>
        <w:rPr>
          <w:rtl w:val="0"/>
          <w:lang w:val="en-US"/>
        </w:rPr>
        <w:t>Factor.AM (</w:t>
      </w:r>
      <w:r>
        <w:rPr>
          <w:rtl w:val="0"/>
          <w:lang w:val="en-US"/>
        </w:rPr>
        <w:t>п</w:t>
      </w:r>
      <w:r>
        <w:rPr>
          <w:rtl w:val="0"/>
          <w:lang w:val="en-US"/>
        </w:rPr>
        <w:t>.2.3);</w:t>
      </w:r>
    </w:p>
    <w:p>
      <w:pPr>
        <w:pStyle w:val="Body Text"/>
      </w:pPr>
      <w:r>
        <w:rPr>
          <w:rFonts w:ascii="Cambria Bold" w:hAnsi="Cambria Bold"/>
          <w:rtl w:val="0"/>
          <w:lang w:val="en-US"/>
        </w:rPr>
        <w:t xml:space="preserve">1.3 </w:t>
      </w:r>
      <w:r>
        <w:rPr>
          <w:rFonts w:ascii="Cambria Bold" w:hAnsi="Cambria Bold" w:hint="default"/>
          <w:rtl w:val="0"/>
          <w:lang w:val="en-US"/>
        </w:rPr>
        <w:t>Закон «О государственной службе» и этика должностных лиц</w:t>
      </w:r>
    </w:p>
    <w:p>
      <w:pPr>
        <w:pStyle w:val="Body Text"/>
      </w:pPr>
      <w:r>
        <w:rPr>
          <w:rtl w:val="0"/>
          <w:lang w:val="en-US"/>
        </w:rPr>
        <w:t>Ани Хачатрян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как избранный член Совета старейшин Еревана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муниципальный совет</w:t>
      </w:r>
      <w:r>
        <w:rPr>
          <w:rtl w:val="0"/>
          <w:lang w:val="en-US"/>
        </w:rPr>
        <w:t xml:space="preserve">), </w:t>
      </w:r>
      <w:r>
        <w:rPr>
          <w:rtl w:val="0"/>
          <w:lang w:val="en-US"/>
        </w:rPr>
        <w:t>является публичным должностным лицом местного самоуправления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Ее поведение регулируется не только уголовным законодательством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но и нормами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устанавливающими стандарты деятельности чиновников и депутатов органов местного самоуправления</w:t>
      </w:r>
      <w:r>
        <w:rPr>
          <w:rtl w:val="0"/>
          <w:lang w:val="en-US"/>
        </w:rPr>
        <w:t>:</w:t>
      </w:r>
    </w:p>
    <w:p>
      <w:pPr>
        <w:pStyle w:val="Body Text"/>
      </w:pPr>
      <w:r>
        <w:rPr>
          <w:rtl w:val="0"/>
          <w:lang w:val="en-US"/>
        </w:rPr>
        <w:t xml:space="preserve">• </w:t>
      </w:r>
      <w:r>
        <w:rPr>
          <w:rFonts w:ascii="Cambria Bold" w:hAnsi="Cambria Bold" w:hint="default"/>
          <w:rtl w:val="0"/>
          <w:lang w:val="en-US"/>
        </w:rPr>
        <w:t>Принципы беспристрастности и уважения</w:t>
      </w:r>
      <w:r>
        <w:rPr>
          <w:rFonts w:ascii="Cambria Bold" w:hAnsi="Cambria Bold"/>
          <w:rtl w:val="0"/>
          <w:lang w:val="en-US"/>
        </w:rPr>
        <w:t>:</w:t>
      </w:r>
      <w:r>
        <w:rPr>
          <w:rtl w:val="0"/>
          <w:lang w:val="en-US"/>
        </w:rPr>
        <w:t xml:space="preserve"> Закон РА «О публичной службе</w:t>
      </w:r>
      <w:r>
        <w:rPr>
          <w:rStyle w:val="Footnote Reference"/>
          <w:rFonts w:ascii="Cambria" w:cs="Cambria" w:hAnsi="Cambria" w:eastAsia="Cambria"/>
          <w:b w:val="0"/>
          <w:bCs w:val="0"/>
          <w:i w:val="0"/>
          <w:iCs w:val="0"/>
        </w:rPr>
        <w:footnoteReference w:id="8"/>
      </w:r>
      <w:r>
        <w:rPr>
          <w:rtl w:val="0"/>
          <w:lang w:val="en-US"/>
        </w:rPr>
        <w:t xml:space="preserve">» </w:t>
      </w:r>
      <w:r>
        <w:rPr>
          <w:rtl w:val="0"/>
          <w:lang w:val="en-US"/>
        </w:rPr>
        <w:t xml:space="preserve">(2011 </w:t>
      </w:r>
      <w:r>
        <w:rPr>
          <w:rtl w:val="0"/>
          <w:lang w:val="en-US"/>
        </w:rPr>
        <w:t>г</w:t>
      </w:r>
      <w:r>
        <w:rPr>
          <w:rtl w:val="0"/>
          <w:lang w:val="en-US"/>
        </w:rPr>
        <w:t xml:space="preserve">., </w:t>
      </w:r>
      <w:r>
        <w:rPr>
          <w:rtl w:val="0"/>
          <w:lang w:val="en-US"/>
        </w:rPr>
        <w:t>с изм</w:t>
      </w:r>
      <w:r>
        <w:rPr>
          <w:rtl w:val="0"/>
          <w:lang w:val="en-US"/>
        </w:rPr>
        <w:t xml:space="preserve">.) </w:t>
      </w:r>
      <w:r>
        <w:rPr>
          <w:rtl w:val="0"/>
          <w:lang w:val="en-US"/>
        </w:rPr>
        <w:t xml:space="preserve">содержит </w:t>
      </w:r>
      <w:r>
        <w:rPr>
          <w:rFonts w:ascii="Cambria Bold" w:hAnsi="Cambria Bold" w:hint="default"/>
          <w:rtl w:val="0"/>
          <w:lang w:val="en-US"/>
        </w:rPr>
        <w:t>принципы поведения</w:t>
      </w:r>
      <w:r>
        <w:rPr>
          <w:rtl w:val="0"/>
          <w:lang w:val="en-US"/>
        </w:rPr>
        <w:t xml:space="preserve"> для лиц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занимающих государственные и муниципальные должности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 xml:space="preserve">Согласно статье </w:t>
      </w:r>
      <w:r>
        <w:rPr>
          <w:rtl w:val="0"/>
          <w:lang w:val="en-US"/>
        </w:rPr>
        <w:t xml:space="preserve">22 </w:t>
      </w:r>
      <w:r>
        <w:rPr>
          <w:rtl w:val="0"/>
          <w:lang w:val="en-US"/>
        </w:rPr>
        <w:t>этого закона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основными принципами поведения публичного служащего являются служение обществу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преданность публичным интересам</w:t>
      </w:r>
      <w:r>
        <w:rPr>
          <w:rtl w:val="0"/>
          <w:lang w:val="en-US"/>
        </w:rPr>
        <w:t xml:space="preserve">, </w:t>
      </w:r>
      <w:r>
        <w:rPr>
          <w:rFonts w:ascii="Cambria Bold" w:hAnsi="Cambria Bold" w:hint="default"/>
          <w:rtl w:val="0"/>
          <w:lang w:val="en-US"/>
        </w:rPr>
        <w:t>благонравие и уважительность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добросовестность и </w:t>
      </w:r>
      <w:r>
        <w:rPr>
          <w:rFonts w:ascii="Cambria Bold" w:hAnsi="Cambria Bold" w:hint="default"/>
          <w:rtl w:val="0"/>
          <w:lang w:val="en-US"/>
        </w:rPr>
        <w:t>объективность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 xml:space="preserve">Высказывания Хачатрян явно нарушают принцип </w:t>
      </w:r>
      <w:r>
        <w:rPr>
          <w:rFonts w:ascii="Cambria Bold" w:hAnsi="Cambria Bold" w:hint="default"/>
          <w:rtl w:val="0"/>
          <w:lang w:val="en-US"/>
        </w:rPr>
        <w:t>уважительного отношения</w:t>
      </w:r>
      <w:r>
        <w:rPr>
          <w:rtl w:val="0"/>
          <w:lang w:val="en-US"/>
        </w:rPr>
        <w:t xml:space="preserve"> к людям – вместо беспристрастности и равного уважения ко всем жителям она проявила грубость и предубеждение на национальной основе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Это противоречит провозглашенному в законе видению нравственного облика должностного лица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Даже если член Совета старейшин не является «государственным служащим» в узком смысле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на него как на выборное должностное лицо </w:t>
      </w:r>
      <w:r>
        <w:rPr>
          <w:rFonts w:ascii="Cambria Bold" w:hAnsi="Cambria Bold" w:hint="default"/>
          <w:rtl w:val="0"/>
          <w:lang w:val="en-US"/>
        </w:rPr>
        <w:t>распространяются этические требования</w:t>
      </w:r>
      <w:r>
        <w:rPr>
          <w:rtl w:val="0"/>
          <w:lang w:val="en-US"/>
        </w:rPr>
        <w:t xml:space="preserve"> публичной службы и моральные императивы политической риторики</w:t>
      </w:r>
      <w:r>
        <w:rPr>
          <w:rtl w:val="0"/>
          <w:lang w:val="en-US"/>
        </w:rPr>
        <w:t>.</w:t>
      </w:r>
    </w:p>
    <w:p>
      <w:pPr>
        <w:pStyle w:val="Body Text"/>
      </w:pPr>
      <w:r>
        <w:rPr>
          <w:rFonts w:ascii="Cambria Bold" w:hAnsi="Cambria Bold"/>
          <w:rtl w:val="0"/>
          <w:lang w:val="en-US"/>
        </w:rPr>
        <w:t xml:space="preserve">1.4 </w:t>
      </w:r>
      <w:r>
        <w:rPr>
          <w:rFonts w:ascii="Cambria Bold" w:hAnsi="Cambria Bold" w:hint="default"/>
          <w:rtl w:val="0"/>
          <w:lang w:val="en-US"/>
        </w:rPr>
        <w:t xml:space="preserve">Свобода собраний и выражения мнений </w:t>
      </w:r>
      <w:r>
        <w:rPr>
          <w:rFonts w:ascii="Cambria Bold" w:hAnsi="Cambria Bold"/>
          <w:rtl w:val="0"/>
          <w:lang w:val="en-US"/>
        </w:rPr>
        <w:t>(</w:t>
      </w:r>
      <w:r>
        <w:rPr>
          <w:rFonts w:ascii="Cambria Bold" w:hAnsi="Cambria Bold" w:hint="default"/>
          <w:rtl w:val="0"/>
          <w:lang w:val="en-US"/>
        </w:rPr>
        <w:t>гарантии и злоупотребление</w:t>
      </w:r>
      <w:r>
        <w:rPr>
          <w:rFonts w:ascii="Cambria Bold" w:hAnsi="Cambria Bold"/>
          <w:rtl w:val="0"/>
          <w:lang w:val="en-US"/>
        </w:rPr>
        <w:t>)</w:t>
      </w:r>
    </w:p>
    <w:p>
      <w:pPr>
        <w:pStyle w:val="Body Text"/>
      </w:pPr>
      <w:r>
        <w:rPr>
          <w:rtl w:val="0"/>
          <w:lang w:val="en-US"/>
        </w:rPr>
        <w:t>Высказывания Хачатрян прозвучали в контексте общественного протеста против вырубки деревьев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Здесь затрагиваются права участников митинга и роль должностного лица</w:t>
      </w:r>
      <w:r>
        <w:rPr>
          <w:rtl w:val="0"/>
          <w:lang w:val="en-US"/>
        </w:rPr>
        <w:t>:</w:t>
      </w:r>
    </w:p>
    <w:p>
      <w:pPr>
        <w:pStyle w:val="Body Text"/>
      </w:pPr>
      <w:r>
        <w:rPr>
          <w:rtl w:val="0"/>
          <w:lang w:val="en-US"/>
        </w:rPr>
        <w:t xml:space="preserve">• </w:t>
      </w:r>
      <w:r>
        <w:rPr>
          <w:rFonts w:ascii="Cambria Bold" w:hAnsi="Cambria Bold" w:hint="default"/>
          <w:rtl w:val="0"/>
          <w:lang w:val="en-US"/>
        </w:rPr>
        <w:t>Право на мирные собрания</w:t>
      </w:r>
      <w:r>
        <w:rPr>
          <w:rFonts w:ascii="Cambria Bold" w:hAnsi="Cambria Bold"/>
          <w:rtl w:val="0"/>
          <w:lang w:val="en-US"/>
        </w:rPr>
        <w:t>:</w:t>
      </w:r>
      <w:r>
        <w:rPr>
          <w:rtl w:val="0"/>
          <w:lang w:val="en-US"/>
        </w:rPr>
        <w:t xml:space="preserve"> Конституция РА</w:t>
      </w:r>
      <w:r>
        <w:rPr>
          <w:rStyle w:val="Footnote Reference"/>
          <w:rFonts w:ascii="Cambria" w:cs="Cambria" w:hAnsi="Cambria" w:eastAsia="Cambria"/>
          <w:b w:val="0"/>
          <w:bCs w:val="0"/>
          <w:i w:val="0"/>
          <w:iCs w:val="0"/>
        </w:rPr>
        <w:footnoteReference w:id="9"/>
      </w:r>
      <w:r>
        <w:rPr>
          <w:rtl w:val="0"/>
          <w:lang w:val="en-US"/>
        </w:rPr>
        <w:t xml:space="preserve"> (</w:t>
      </w:r>
      <w:r>
        <w:rPr>
          <w:rtl w:val="0"/>
          <w:lang w:val="en-US"/>
        </w:rPr>
        <w:t>ст</w:t>
      </w:r>
      <w:r>
        <w:rPr>
          <w:rtl w:val="0"/>
          <w:lang w:val="en-US"/>
        </w:rPr>
        <w:t xml:space="preserve">. 44) </w:t>
      </w:r>
      <w:r>
        <w:rPr>
          <w:rtl w:val="0"/>
          <w:lang w:val="en-US"/>
        </w:rPr>
        <w:t>и Закон РА «О свободе собраний</w:t>
      </w:r>
      <w:r>
        <w:rPr>
          <w:rStyle w:val="Footnote Reference"/>
          <w:rFonts w:ascii="Cambria" w:cs="Cambria" w:hAnsi="Cambria" w:eastAsia="Cambria"/>
          <w:b w:val="0"/>
          <w:bCs w:val="0"/>
          <w:i w:val="0"/>
          <w:iCs w:val="0"/>
        </w:rPr>
        <w:footnoteReference w:id="10"/>
      </w:r>
      <w:r>
        <w:rPr>
          <w:rtl w:val="0"/>
          <w:lang w:val="en-US"/>
        </w:rPr>
        <w:t xml:space="preserve">» гарантируют всем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в том числе иностранным гражданам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законно находящимся в стране</w:t>
      </w:r>
      <w:r>
        <w:rPr>
          <w:rtl w:val="0"/>
          <w:lang w:val="en-US"/>
        </w:rPr>
        <w:t xml:space="preserve">) </w:t>
      </w:r>
      <w:r>
        <w:rPr>
          <w:rtl w:val="0"/>
          <w:lang w:val="en-US"/>
        </w:rPr>
        <w:t>право на мирные митинги и выражение мнения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Участники акции у мэрии – вне зависимости от гражданства – имели полное право выражать протест в рамках закона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Слова Хачатрян о том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что граждане России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«русские»</w:t>
      </w:r>
      <w:r>
        <w:rPr>
          <w:rtl w:val="0"/>
          <w:lang w:val="en-US"/>
        </w:rPr>
        <w:t xml:space="preserve">) </w:t>
      </w:r>
      <w:r>
        <w:rPr>
          <w:rtl w:val="0"/>
          <w:lang w:val="en-US"/>
        </w:rPr>
        <w:t>не имеют права участвовать в публичных акциях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по сути отрицает </w:t>
      </w:r>
      <w:r>
        <w:rPr>
          <w:rFonts w:ascii="Cambria Bold" w:hAnsi="Cambria Bold" w:hint="default"/>
          <w:rtl w:val="0"/>
          <w:lang w:val="en-US"/>
        </w:rPr>
        <w:t>право этих лиц на участие в жизни города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Это противоречит не только духу закона о собраниях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но 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например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Избирательному кодексу Республики Армения</w:t>
      </w:r>
      <w:r>
        <w:rPr>
          <w:rStyle w:val="Footnote Reference"/>
          <w:rFonts w:ascii="Cambria" w:cs="Cambria" w:hAnsi="Cambria" w:eastAsia="Cambria"/>
          <w:b w:val="0"/>
          <w:bCs w:val="0"/>
          <w:i w:val="0"/>
          <w:iCs w:val="0"/>
        </w:rPr>
        <w:footnoteReference w:id="11"/>
      </w:r>
      <w:r>
        <w:rPr>
          <w:rtl w:val="0"/>
          <w:lang w:val="en-US"/>
        </w:rPr>
        <w:t xml:space="preserve"> (</w:t>
      </w:r>
      <w:r>
        <w:rPr>
          <w:rtl w:val="0"/>
          <w:lang w:val="en-US"/>
        </w:rPr>
        <w:t>ст</w:t>
      </w:r>
      <w:r>
        <w:rPr>
          <w:rtl w:val="0"/>
          <w:lang w:val="en-US"/>
        </w:rPr>
        <w:t xml:space="preserve">. 2, </w:t>
      </w:r>
      <w:r>
        <w:rPr>
          <w:rtl w:val="0"/>
          <w:lang w:val="en-US"/>
        </w:rPr>
        <w:t>п</w:t>
      </w:r>
      <w:r>
        <w:rPr>
          <w:rtl w:val="0"/>
          <w:lang w:val="en-US"/>
        </w:rPr>
        <w:t xml:space="preserve">.2.2), </w:t>
      </w:r>
      <w:r>
        <w:rPr>
          <w:rtl w:val="0"/>
          <w:lang w:val="en-US"/>
        </w:rPr>
        <w:t xml:space="preserve">по которому жители города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в том числе зарегистрированные иностранцы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проживающие больше года</w:t>
      </w:r>
      <w:r>
        <w:rPr>
          <w:rtl w:val="0"/>
          <w:lang w:val="en-US"/>
        </w:rPr>
        <w:t xml:space="preserve">) </w:t>
      </w:r>
      <w:r>
        <w:rPr>
          <w:rtl w:val="0"/>
          <w:lang w:val="en-US"/>
        </w:rPr>
        <w:t>– участники местного самоуправления с правом голоса</w:t>
      </w:r>
      <w:r>
        <w:rPr>
          <w:rStyle w:val="Footnote Reference"/>
          <w:rFonts w:ascii="Cambria" w:cs="Cambria" w:hAnsi="Cambria" w:eastAsia="Cambria"/>
          <w:b w:val="0"/>
          <w:bCs w:val="0"/>
          <w:i w:val="0"/>
          <w:iCs w:val="0"/>
        </w:rPr>
        <w:footnoteReference w:id="12"/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Таким образом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высказывания Хачатрян можно расценить как </w:t>
      </w:r>
      <w:r>
        <w:rPr>
          <w:rFonts w:ascii="Cambria Bold" w:hAnsi="Cambria Bold" w:hint="default"/>
          <w:rtl w:val="0"/>
          <w:lang w:val="en-US"/>
        </w:rPr>
        <w:t>злоупотребление свободой выражения</w:t>
      </w:r>
      <w:r>
        <w:rPr>
          <w:rtl w:val="0"/>
          <w:lang w:val="en-US"/>
        </w:rPr>
        <w:t xml:space="preserve"> со стороны должностного лица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направленное на ущемление законных прав других лиц</w:t>
      </w:r>
      <w:r>
        <w:rPr>
          <w:rtl w:val="0"/>
          <w:lang w:val="en-US"/>
        </w:rPr>
        <w:t>.</w:t>
      </w:r>
    </w:p>
    <w:p>
      <w:pPr>
        <w:pStyle w:val="Body Text"/>
      </w:pPr>
      <w:r>
        <w:rPr>
          <w:rFonts w:ascii="Cambria Bold" w:hAnsi="Cambria Bold"/>
          <w:rtl w:val="0"/>
          <w:lang w:val="en-US"/>
        </w:rPr>
        <w:t xml:space="preserve">2. </w:t>
      </w:r>
      <w:r>
        <w:rPr>
          <w:rFonts w:ascii="Cambria Bold" w:hAnsi="Cambria Bold" w:hint="default"/>
          <w:rtl w:val="0"/>
          <w:lang w:val="en-US"/>
        </w:rPr>
        <w:t>Нарушения международных обязательств Армении</w:t>
      </w:r>
    </w:p>
    <w:p>
      <w:pPr>
        <w:pStyle w:val="Body Text"/>
      </w:pPr>
      <w:r>
        <w:rPr>
          <w:rtl w:val="0"/>
          <w:lang w:val="en-US"/>
        </w:rPr>
        <w:t>Армения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как член международных организаций и участник ключевых договоров по правам человека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взяла на себя обязательства противодействовать ксенофобии и обеспечивать недопущение языка вражды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особенно со стороны официальных лиц</w:t>
      </w:r>
      <w:r>
        <w:rPr>
          <w:rtl w:val="0"/>
          <w:lang w:val="en-US"/>
        </w:rPr>
        <w:t>.</w:t>
      </w:r>
    </w:p>
    <w:p>
      <w:pPr>
        <w:pStyle w:val="Body Text"/>
      </w:pPr>
      <w:r>
        <w:rPr>
          <w:rFonts w:ascii="Cambria Bold" w:hAnsi="Cambria Bold"/>
          <w:rtl w:val="0"/>
          <w:lang w:val="en-US"/>
        </w:rPr>
        <w:t xml:space="preserve">2.1 </w:t>
      </w:r>
      <w:r>
        <w:rPr>
          <w:rFonts w:ascii="Cambria Bold" w:hAnsi="Cambria Bold" w:hint="default"/>
          <w:rtl w:val="0"/>
          <w:lang w:val="en-US"/>
        </w:rPr>
        <w:t xml:space="preserve">Европейская Конвенция по правам человека </w:t>
      </w:r>
      <w:r>
        <w:rPr>
          <w:rFonts w:ascii="Cambria Bold" w:hAnsi="Cambria Bold"/>
          <w:rtl w:val="0"/>
          <w:lang w:val="en-US"/>
        </w:rPr>
        <w:t>(</w:t>
      </w:r>
      <w:r>
        <w:rPr>
          <w:rFonts w:ascii="Cambria Bold" w:hAnsi="Cambria Bold" w:hint="default"/>
          <w:rtl w:val="0"/>
          <w:lang w:val="en-US"/>
        </w:rPr>
        <w:t>ЕКПЧ</w:t>
      </w:r>
      <w:r>
        <w:rPr>
          <w:rFonts w:ascii="Cambria Bold" w:hAnsi="Cambria Bold"/>
          <w:rtl w:val="0"/>
          <w:lang w:val="en-US"/>
        </w:rPr>
        <w:t>)</w:t>
      </w:r>
    </w:p>
    <w:p>
      <w:pPr>
        <w:pStyle w:val="Body Text"/>
      </w:pPr>
      <w:r>
        <w:rPr>
          <w:rFonts w:ascii="Cambria Bold" w:hAnsi="Cambria Bold" w:hint="default"/>
          <w:rtl w:val="0"/>
          <w:lang w:val="en-US"/>
        </w:rPr>
        <w:t xml:space="preserve">Статья </w:t>
      </w:r>
      <w:r>
        <w:rPr>
          <w:rFonts w:ascii="Cambria Bold" w:hAnsi="Cambria Bold"/>
          <w:rtl w:val="0"/>
          <w:lang w:val="en-US"/>
        </w:rPr>
        <w:t xml:space="preserve">14 </w:t>
      </w:r>
      <w:r>
        <w:rPr>
          <w:rFonts w:ascii="Cambria Bold" w:hAnsi="Cambria Bold" w:hint="default"/>
          <w:rtl w:val="0"/>
          <w:lang w:val="en-US"/>
        </w:rPr>
        <w:t>ЕКПЧ</w:t>
      </w:r>
      <w:r>
        <w:rPr>
          <w:rStyle w:val="Footnote Reference"/>
          <w:rFonts w:ascii="Cambria" w:cs="Cambria" w:hAnsi="Cambria" w:eastAsia="Cambria"/>
          <w:b w:val="0"/>
          <w:bCs w:val="0"/>
          <w:i w:val="0"/>
          <w:iCs w:val="0"/>
        </w:rPr>
        <w:footnoteReference w:id="13"/>
      </w:r>
      <w:r>
        <w:rPr>
          <w:rFonts w:ascii="Cambria Bold" w:hAnsi="Cambria Bold"/>
          <w:rtl w:val="0"/>
          <w:lang w:val="en-US"/>
        </w:rPr>
        <w:t xml:space="preserve"> (</w:t>
      </w:r>
      <w:r>
        <w:rPr>
          <w:rFonts w:ascii="Cambria Bold" w:hAnsi="Cambria Bold" w:hint="default"/>
          <w:rtl w:val="0"/>
          <w:lang w:val="en-US"/>
        </w:rPr>
        <w:t>Запрет дискриминации</w:t>
      </w:r>
      <w:r>
        <w:rPr>
          <w:rFonts w:ascii="Cambria Bold" w:hAnsi="Cambria Bold"/>
          <w:rtl w:val="0"/>
          <w:lang w:val="en-US"/>
        </w:rPr>
        <w:t>):</w:t>
      </w:r>
      <w:r>
        <w:rPr>
          <w:rtl w:val="0"/>
          <w:lang w:val="en-US"/>
        </w:rPr>
        <w:t xml:space="preserve"> хотя статья </w:t>
      </w:r>
      <w:r>
        <w:rPr>
          <w:rtl w:val="0"/>
          <w:lang w:val="en-US"/>
        </w:rPr>
        <w:t xml:space="preserve">14 </w:t>
      </w:r>
      <w:r>
        <w:rPr>
          <w:rtl w:val="0"/>
          <w:lang w:val="en-US"/>
        </w:rPr>
        <w:t xml:space="preserve">носит вспомогательный характер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запрещает дискриминацию в пользовании другими правами Конвенции</w:t>
      </w:r>
      <w:r>
        <w:rPr>
          <w:rtl w:val="0"/>
          <w:lang w:val="en-US"/>
        </w:rPr>
        <w:t xml:space="preserve">), </w:t>
      </w:r>
      <w:r>
        <w:rPr>
          <w:rtl w:val="0"/>
          <w:lang w:val="en-US"/>
        </w:rPr>
        <w:t>поведение должностного лица может нарушать права конкретных людей по признаку их национальности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Если участники митинга подверглись оскорблению и фактически попытке ущемления их права на свободу собраний из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за национальной принадлежности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это может рассматриваться как нарушение статьи </w:t>
      </w:r>
      <w:r>
        <w:rPr>
          <w:rtl w:val="0"/>
          <w:lang w:val="en-US"/>
        </w:rPr>
        <w:t xml:space="preserve">14, </w:t>
      </w:r>
      <w:r>
        <w:rPr>
          <w:rtl w:val="0"/>
          <w:lang w:val="en-US"/>
        </w:rPr>
        <w:t xml:space="preserve">взятой в сочетании со статьей </w:t>
      </w:r>
      <w:r>
        <w:rPr>
          <w:rtl w:val="0"/>
          <w:lang w:val="en-US"/>
        </w:rPr>
        <w:t xml:space="preserve">11 </w:t>
      </w:r>
      <w:r>
        <w:rPr>
          <w:rtl w:val="0"/>
          <w:lang w:val="en-US"/>
        </w:rPr>
        <w:t xml:space="preserve">ЕКПЧ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свобода собраний</w:t>
      </w:r>
      <w:r>
        <w:rPr>
          <w:rtl w:val="0"/>
          <w:lang w:val="en-US"/>
        </w:rPr>
        <w:t xml:space="preserve">) </w:t>
      </w:r>
      <w:r>
        <w:rPr>
          <w:rtl w:val="0"/>
          <w:lang w:val="en-US"/>
        </w:rPr>
        <w:t xml:space="preserve">или со статьей </w:t>
      </w:r>
      <w:r>
        <w:rPr>
          <w:rtl w:val="0"/>
          <w:lang w:val="en-US"/>
        </w:rPr>
        <w:t>10 (</w:t>
      </w:r>
      <w:r>
        <w:rPr>
          <w:rtl w:val="0"/>
          <w:lang w:val="en-US"/>
        </w:rPr>
        <w:t>свобода выражения мнения</w:t>
      </w:r>
      <w:r>
        <w:rPr>
          <w:rtl w:val="0"/>
          <w:lang w:val="en-US"/>
        </w:rPr>
        <w:t xml:space="preserve">). </w:t>
      </w:r>
      <w:r>
        <w:rPr>
          <w:rtl w:val="0"/>
          <w:lang w:val="en-US"/>
        </w:rPr>
        <w:t xml:space="preserve">Государство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в лице должностного лица органа местного самоуправления</w:t>
      </w:r>
      <w:r>
        <w:rPr>
          <w:rtl w:val="0"/>
          <w:lang w:val="en-US"/>
        </w:rPr>
        <w:t xml:space="preserve">) </w:t>
      </w:r>
      <w:r>
        <w:rPr>
          <w:rtl w:val="0"/>
          <w:lang w:val="en-US"/>
        </w:rPr>
        <w:t xml:space="preserve">не должно допускать </w:t>
      </w:r>
      <w:r>
        <w:rPr>
          <w:rFonts w:ascii="Cambria Bold" w:hAnsi="Cambria Bold" w:hint="default"/>
          <w:rtl w:val="0"/>
          <w:lang w:val="en-US"/>
        </w:rPr>
        <w:t>неравного обращения</w:t>
      </w:r>
      <w:r>
        <w:rPr>
          <w:rtl w:val="0"/>
          <w:lang w:val="en-US"/>
        </w:rPr>
        <w:t xml:space="preserve"> с людьми по национальному признаку при реализации ими прав и свобод</w:t>
      </w:r>
      <w:r>
        <w:rPr>
          <w:rtl w:val="0"/>
          <w:lang w:val="en-US"/>
        </w:rPr>
        <w:t>.</w:t>
      </w:r>
    </w:p>
    <w:p>
      <w:pPr>
        <w:pStyle w:val="Body Text"/>
      </w:pPr>
      <w:r>
        <w:rPr>
          <w:rFonts w:ascii="Cambria Bold" w:hAnsi="Cambria Bold" w:hint="default"/>
          <w:rtl w:val="0"/>
          <w:lang w:val="en-US"/>
        </w:rPr>
        <w:t xml:space="preserve">Статья </w:t>
      </w:r>
      <w:r>
        <w:rPr>
          <w:rFonts w:ascii="Cambria Bold" w:hAnsi="Cambria Bold"/>
          <w:rtl w:val="0"/>
          <w:lang w:val="en-US"/>
        </w:rPr>
        <w:t xml:space="preserve">10 </w:t>
      </w:r>
      <w:r>
        <w:rPr>
          <w:rFonts w:ascii="Cambria Bold" w:hAnsi="Cambria Bold" w:hint="default"/>
          <w:rtl w:val="0"/>
          <w:lang w:val="en-US"/>
        </w:rPr>
        <w:t xml:space="preserve">ЕКПЧ </w:t>
      </w:r>
      <w:r>
        <w:rPr>
          <w:rFonts w:ascii="Cambria Bold" w:hAnsi="Cambria Bold"/>
          <w:rtl w:val="0"/>
          <w:lang w:val="en-US"/>
        </w:rPr>
        <w:t>(</w:t>
      </w:r>
      <w:r>
        <w:rPr>
          <w:rFonts w:ascii="Cambria Bold" w:hAnsi="Cambria Bold" w:hint="default"/>
          <w:rtl w:val="0"/>
          <w:lang w:val="en-US"/>
        </w:rPr>
        <w:t>Свобода выражения</w:t>
      </w:r>
      <w:r>
        <w:rPr>
          <w:rFonts w:ascii="Cambria Bold" w:hAnsi="Cambria Bold"/>
          <w:rtl w:val="0"/>
          <w:lang w:val="en-US"/>
        </w:rPr>
        <w:t xml:space="preserve">) </w:t>
      </w:r>
      <w:r>
        <w:rPr>
          <w:rFonts w:ascii="Cambria Bold" w:hAnsi="Cambria Bold" w:hint="default"/>
          <w:rtl w:val="0"/>
          <w:lang w:val="en-US"/>
        </w:rPr>
        <w:t>и язык вражды</w:t>
      </w:r>
      <w:r>
        <w:rPr>
          <w:rFonts w:ascii="Cambria Bold" w:hAnsi="Cambria Bold"/>
          <w:rtl w:val="0"/>
          <w:lang w:val="en-US"/>
        </w:rPr>
        <w:t>:</w:t>
      </w:r>
      <w:r>
        <w:rPr>
          <w:rtl w:val="0"/>
          <w:lang w:val="en-US"/>
        </w:rPr>
        <w:t xml:space="preserve"> ЕКПЧ защищает свободу слова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но не считает </w:t>
      </w:r>
      <w:r>
        <w:rPr>
          <w:rFonts w:ascii="Cambria Bold" w:hAnsi="Cambria Bold" w:hint="default"/>
          <w:rtl w:val="0"/>
          <w:lang w:val="en-US"/>
        </w:rPr>
        <w:t>разжигание ненависти</w:t>
      </w:r>
      <w:r>
        <w:rPr>
          <w:rtl w:val="0"/>
          <w:lang w:val="en-US"/>
        </w:rPr>
        <w:t xml:space="preserve"> допустимым проявлением этой свободы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 xml:space="preserve">Европейский суд по правам человека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ЕСПЧ</w:t>
      </w:r>
      <w:r>
        <w:rPr>
          <w:rtl w:val="0"/>
          <w:lang w:val="en-US"/>
        </w:rPr>
        <w:t xml:space="preserve">) </w:t>
      </w:r>
      <w:r>
        <w:rPr>
          <w:rtl w:val="0"/>
          <w:lang w:val="en-US"/>
        </w:rPr>
        <w:t>в ряде решений указал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что </w:t>
      </w:r>
      <w:r>
        <w:rPr>
          <w:rFonts w:ascii="Cambria Bold" w:hAnsi="Cambria Bold" w:hint="default"/>
          <w:rtl w:val="0"/>
          <w:lang w:val="en-US"/>
        </w:rPr>
        <w:t>ненавистнические высказывания могут быть законно ограничены и наказаны</w:t>
      </w:r>
      <w:r>
        <w:rPr>
          <w:rtl w:val="0"/>
          <w:lang w:val="en-US"/>
        </w:rPr>
        <w:t xml:space="preserve"> в демократическом обществе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К примеру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в деле </w:t>
      </w:r>
      <w:r>
        <w:rPr>
          <w:rFonts w:ascii="Cambria Italic" w:hAnsi="Cambria Italic"/>
          <w:rtl w:val="0"/>
          <w:lang w:val="en-US"/>
        </w:rPr>
        <w:t>Erbakan v. Turkey</w:t>
      </w:r>
      <w:r>
        <w:rPr>
          <w:rStyle w:val="Footnote Reference"/>
          <w:rFonts w:ascii="Cambria" w:cs="Cambria" w:hAnsi="Cambria" w:eastAsia="Cambria"/>
          <w:b w:val="0"/>
          <w:bCs w:val="0"/>
          <w:i w:val="0"/>
          <w:iCs w:val="0"/>
        </w:rPr>
        <w:footnoteReference w:id="14"/>
      </w:r>
      <w:r>
        <w:rPr>
          <w:rtl w:val="0"/>
          <w:lang w:val="en-US"/>
        </w:rPr>
        <w:t xml:space="preserve"> (</w:t>
      </w:r>
      <w:r>
        <w:rPr>
          <w:rtl w:val="0"/>
          <w:lang w:val="en-US"/>
        </w:rPr>
        <w:t>Ербакан против Турции</w:t>
      </w:r>
      <w:r>
        <w:rPr>
          <w:rtl w:val="0"/>
          <w:lang w:val="en-US"/>
        </w:rPr>
        <w:t xml:space="preserve">, 2006 </w:t>
      </w:r>
      <w:r>
        <w:rPr>
          <w:rtl w:val="0"/>
          <w:lang w:val="en-US"/>
        </w:rPr>
        <w:t>г</w:t>
      </w:r>
      <w:r>
        <w:rPr>
          <w:rtl w:val="0"/>
          <w:lang w:val="en-US"/>
        </w:rPr>
        <w:t xml:space="preserve">.) </w:t>
      </w:r>
      <w:r>
        <w:rPr>
          <w:rtl w:val="0"/>
          <w:lang w:val="en-US"/>
        </w:rPr>
        <w:t>ЕСПЧ отметил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что </w:t>
      </w:r>
      <w:r>
        <w:rPr>
          <w:rFonts w:ascii="Cambria Bold" w:hAnsi="Cambria Bold" w:hint="default"/>
          <w:rtl w:val="0"/>
          <w:lang w:val="en-US"/>
        </w:rPr>
        <w:t>толерантность и уважение к равному достоинству всех людей составляют основу демократического общества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поэтому </w:t>
      </w:r>
      <w:r>
        <w:rPr>
          <w:rFonts w:ascii="Cambria Bold" w:hAnsi="Cambria Bold" w:hint="default"/>
          <w:rtl w:val="0"/>
          <w:lang w:val="en-US"/>
        </w:rPr>
        <w:t>может быть необходимым санкционировать или даже предотвратить все формы выражений</w:t>
      </w:r>
      <w:r>
        <w:rPr>
          <w:rFonts w:ascii="Cambria Bold" w:hAnsi="Cambria Bold"/>
          <w:rtl w:val="0"/>
          <w:lang w:val="en-US"/>
        </w:rPr>
        <w:t xml:space="preserve">, </w:t>
      </w:r>
      <w:r>
        <w:rPr>
          <w:rFonts w:ascii="Cambria Bold" w:hAnsi="Cambria Bold" w:hint="default"/>
          <w:rtl w:val="0"/>
          <w:lang w:val="en-US"/>
        </w:rPr>
        <w:t>которые распространяют</w:t>
      </w:r>
      <w:r>
        <w:rPr>
          <w:rFonts w:ascii="Cambria Bold" w:hAnsi="Cambria Bold"/>
          <w:rtl w:val="0"/>
          <w:lang w:val="en-US"/>
        </w:rPr>
        <w:t xml:space="preserve">, </w:t>
      </w:r>
      <w:r>
        <w:rPr>
          <w:rFonts w:ascii="Cambria Bold" w:hAnsi="Cambria Bold" w:hint="default"/>
          <w:rtl w:val="0"/>
          <w:lang w:val="en-US"/>
        </w:rPr>
        <w:t>подстрекают</w:t>
      </w:r>
      <w:r>
        <w:rPr>
          <w:rFonts w:ascii="Cambria Bold" w:hAnsi="Cambria Bold"/>
          <w:rtl w:val="0"/>
          <w:lang w:val="en-US"/>
        </w:rPr>
        <w:t xml:space="preserve">, </w:t>
      </w:r>
      <w:r>
        <w:rPr>
          <w:rFonts w:ascii="Cambria Bold" w:hAnsi="Cambria Bold" w:hint="default"/>
          <w:rtl w:val="0"/>
          <w:lang w:val="en-US"/>
        </w:rPr>
        <w:t>пропагандируют или оправдывают ненависть на основе нетерпимости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Иными словами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язык вражды </w:t>
      </w:r>
      <w:r>
        <w:rPr>
          <w:rtl w:val="0"/>
          <w:lang w:val="en-US"/>
        </w:rPr>
        <w:t xml:space="preserve">(hate speech) </w:t>
      </w:r>
      <w:r>
        <w:rPr>
          <w:rtl w:val="0"/>
          <w:lang w:val="en-US"/>
        </w:rPr>
        <w:t xml:space="preserve">не пользуется защитой статьи </w:t>
      </w:r>
      <w:r>
        <w:rPr>
          <w:rtl w:val="0"/>
          <w:lang w:val="en-US"/>
        </w:rPr>
        <w:t xml:space="preserve">10, </w:t>
      </w:r>
      <w:r>
        <w:rPr>
          <w:rtl w:val="0"/>
          <w:lang w:val="en-US"/>
        </w:rPr>
        <w:t xml:space="preserve">либо исключается из нее на основании </w:t>
      </w:r>
      <w:r>
        <w:rPr>
          <w:rFonts w:ascii="Cambria Bold" w:hAnsi="Cambria Bold" w:hint="default"/>
          <w:rtl w:val="0"/>
          <w:lang w:val="en-US"/>
        </w:rPr>
        <w:t xml:space="preserve">статьи </w:t>
      </w:r>
      <w:r>
        <w:rPr>
          <w:rFonts w:ascii="Cambria Bold" w:hAnsi="Cambria Bold"/>
          <w:rtl w:val="0"/>
          <w:lang w:val="en-US"/>
        </w:rPr>
        <w:t xml:space="preserve">17 </w:t>
      </w:r>
      <w:r>
        <w:rPr>
          <w:rFonts w:ascii="Cambria Bold" w:hAnsi="Cambria Bold" w:hint="default"/>
          <w:rtl w:val="0"/>
          <w:lang w:val="en-US"/>
        </w:rPr>
        <w:t>ЕКПЧ</w:t>
      </w:r>
      <w:r>
        <w:rPr>
          <w:rtl w:val="0"/>
          <w:lang w:val="en-US"/>
        </w:rPr>
        <w:t xml:space="preserve"> (</w:t>
      </w:r>
      <w:r>
        <w:rPr>
          <w:rtl w:val="0"/>
          <w:lang w:val="en-US"/>
        </w:rPr>
        <w:t>запрет злоупотребления правами</w:t>
      </w:r>
      <w:r>
        <w:rPr>
          <w:rtl w:val="0"/>
          <w:lang w:val="en-US"/>
        </w:rPr>
        <w:t xml:space="preserve">). </w:t>
      </w:r>
      <w:r>
        <w:rPr>
          <w:rtl w:val="0"/>
          <w:lang w:val="en-US"/>
        </w:rPr>
        <w:t>В практике ЕСПЧ распространено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что открыто оскорбительные и враждебные высказывания в адрес группы по признаку национальности могут не иметь защиты Конвенции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Если бы дело рассматривалось в плоскости ЕКПЧ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государство должно было бы показать адекватную реакцию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например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осуждение или наказание чиновника</w:t>
      </w:r>
      <w:r>
        <w:rPr>
          <w:rtl w:val="0"/>
          <w:lang w:val="en-US"/>
        </w:rPr>
        <w:t xml:space="preserve">) </w:t>
      </w:r>
      <w:r>
        <w:rPr>
          <w:rtl w:val="0"/>
          <w:lang w:val="en-US"/>
        </w:rPr>
        <w:t>для соблюдения баланса между свободой слова и защитой прав пострадавших групп</w:t>
      </w:r>
      <w:r>
        <w:rPr>
          <w:rtl w:val="0"/>
          <w:lang w:val="en-US"/>
        </w:rPr>
        <w:t>.</w:t>
      </w:r>
    </w:p>
    <w:p>
      <w:pPr>
        <w:pStyle w:val="Body Text"/>
      </w:pPr>
      <w:r>
        <w:rPr>
          <w:rFonts w:ascii="Cambria Bold" w:hAnsi="Cambria Bold" w:hint="default"/>
          <w:rtl w:val="0"/>
          <w:lang w:val="en-US"/>
        </w:rPr>
        <w:t>Прецеденты</w:t>
      </w:r>
      <w:r>
        <w:rPr>
          <w:rFonts w:ascii="Cambria Bold" w:hAnsi="Cambria Bold"/>
          <w:rtl w:val="0"/>
          <w:lang w:val="en-US"/>
        </w:rPr>
        <w:t>:</w:t>
      </w:r>
      <w:r>
        <w:rPr>
          <w:rtl w:val="0"/>
          <w:lang w:val="en-US"/>
        </w:rPr>
        <w:t xml:space="preserve"> ЕСПЧ поддерживал государства в мерах против публичных проявлений расовой ненависти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Например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еще Европейская комиссия по правам человека в решении </w:t>
      </w:r>
      <w:r>
        <w:rPr>
          <w:rFonts w:ascii="Cambria Italic" w:hAnsi="Cambria Italic"/>
          <w:rtl w:val="0"/>
          <w:lang w:val="en-US"/>
        </w:rPr>
        <w:t>Glimmerveen and Hagenbeek v. Netherlands</w:t>
      </w:r>
      <w:r>
        <w:rPr>
          <w:rStyle w:val="Footnote Reference"/>
          <w:rFonts w:ascii="Cambria" w:cs="Cambria" w:hAnsi="Cambria" w:eastAsia="Cambria"/>
          <w:b w:val="0"/>
          <w:bCs w:val="0"/>
          <w:i w:val="0"/>
          <w:iCs w:val="0"/>
        </w:rPr>
        <w:footnoteReference w:id="15"/>
      </w:r>
      <w:r>
        <w:rPr>
          <w:rtl w:val="0"/>
          <w:lang w:val="en-US"/>
        </w:rPr>
        <w:t xml:space="preserve"> (1979) </w:t>
      </w:r>
      <w:r>
        <w:rPr>
          <w:rtl w:val="0"/>
          <w:lang w:val="en-US"/>
        </w:rPr>
        <w:t>признала неприемлемой жалобу заявителей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распространявших листовки с призывом “чистить” страну от лиц не местного происхождения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указав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что </w:t>
      </w:r>
      <w:r>
        <w:rPr>
          <w:rFonts w:ascii="Cambria Bold" w:hAnsi="Cambria Bold" w:hint="default"/>
          <w:rtl w:val="0"/>
          <w:lang w:val="en-US"/>
        </w:rPr>
        <w:t xml:space="preserve">статья </w:t>
      </w:r>
      <w:r>
        <w:rPr>
          <w:rFonts w:ascii="Cambria Bold" w:hAnsi="Cambria Bold"/>
          <w:rtl w:val="0"/>
          <w:lang w:val="en-US"/>
        </w:rPr>
        <w:t xml:space="preserve">17 </w:t>
      </w:r>
      <w:r>
        <w:rPr>
          <w:rFonts w:ascii="Cambria Bold" w:hAnsi="Cambria Bold" w:hint="default"/>
          <w:rtl w:val="0"/>
          <w:lang w:val="en-US"/>
        </w:rPr>
        <w:t>ЕКПЧ</w:t>
      </w:r>
      <w:r>
        <w:rPr>
          <w:rtl w:val="0"/>
          <w:lang w:val="en-US"/>
        </w:rPr>
        <w:t xml:space="preserve"> лишает подобных пропагандистов права прикрываться свободой выражения при ксенофобских высказываниях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Применительно к ситуации в Ереване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ксенофобные заявления члена Совета Старейшин прямо противоречат европейским стандартам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Государство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 xml:space="preserve">Армения обязано </w:t>
      </w:r>
      <w:r>
        <w:rPr>
          <w:rFonts w:ascii="Cambria Bold" w:hAnsi="Cambria Bold" w:hint="default"/>
          <w:rtl w:val="0"/>
          <w:lang w:val="en-US"/>
        </w:rPr>
        <w:t>предупреждать и осуждать проявления ненависти официальными лицами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иначе это может рассматриваться как несоответствие духу Конвенции и рекомендациям Совета Европы</w:t>
      </w:r>
      <w:r>
        <w:rPr>
          <w:rtl w:val="0"/>
          <w:lang w:val="en-US"/>
        </w:rPr>
        <w:t>.</w:t>
      </w:r>
    </w:p>
    <w:p>
      <w:pPr>
        <w:pStyle w:val="Body Text"/>
      </w:pPr>
      <w:r>
        <w:rPr>
          <w:rFonts w:ascii="Cambria Bold" w:hAnsi="Cambria Bold"/>
          <w:rtl w:val="0"/>
          <w:lang w:val="en-US"/>
        </w:rPr>
        <w:t xml:space="preserve">2.2 </w:t>
      </w:r>
      <w:r>
        <w:rPr>
          <w:rFonts w:ascii="Cambria Bold" w:hAnsi="Cambria Bold" w:hint="default"/>
          <w:rtl w:val="0"/>
          <w:lang w:val="en-US"/>
        </w:rPr>
        <w:t xml:space="preserve">Документы Совета Европы </w:t>
      </w:r>
      <w:r>
        <w:rPr>
          <w:rFonts w:ascii="Cambria Bold" w:hAnsi="Cambria Bold"/>
          <w:rtl w:val="0"/>
          <w:lang w:val="en-US"/>
        </w:rPr>
        <w:t>(</w:t>
      </w:r>
      <w:r>
        <w:rPr>
          <w:rFonts w:ascii="Cambria Bold" w:hAnsi="Cambria Bold" w:hint="default"/>
          <w:rtl w:val="0"/>
          <w:lang w:val="en-US"/>
        </w:rPr>
        <w:t>ЕСПЧ</w:t>
      </w:r>
      <w:r>
        <w:rPr>
          <w:rFonts w:ascii="Cambria Bold" w:hAnsi="Cambria Bold"/>
          <w:rtl w:val="0"/>
          <w:lang w:val="en-US"/>
        </w:rPr>
        <w:t xml:space="preserve">, </w:t>
      </w:r>
      <w:r>
        <w:rPr>
          <w:rFonts w:ascii="Cambria Bold" w:hAnsi="Cambria Bold" w:hint="default"/>
          <w:rtl w:val="0"/>
          <w:lang w:val="en-US"/>
        </w:rPr>
        <w:t>ЕКРЧ</w:t>
      </w:r>
      <w:r>
        <w:rPr>
          <w:rFonts w:ascii="Cambria Bold" w:hAnsi="Cambria Bold"/>
          <w:rtl w:val="0"/>
          <w:lang w:val="en-US"/>
        </w:rPr>
        <w:t xml:space="preserve">, </w:t>
      </w:r>
      <w:r>
        <w:rPr>
          <w:rFonts w:ascii="Cambria Bold" w:hAnsi="Cambria Bold" w:hint="default"/>
          <w:rtl w:val="0"/>
          <w:lang w:val="en-US"/>
        </w:rPr>
        <w:t>ПАСЕ</w:t>
      </w:r>
      <w:r>
        <w:rPr>
          <w:rFonts w:ascii="Cambria Bold" w:hAnsi="Cambria Bold"/>
          <w:rtl w:val="0"/>
          <w:lang w:val="en-US"/>
        </w:rPr>
        <w:t>)</w:t>
      </w:r>
    </w:p>
    <w:p>
      <w:pPr>
        <w:pStyle w:val="Body Text"/>
      </w:pPr>
      <w:r>
        <w:rPr>
          <w:rFonts w:ascii="Cambria Bold" w:hAnsi="Cambria Bold" w:hint="default"/>
          <w:rtl w:val="0"/>
          <w:lang w:val="en-US"/>
        </w:rPr>
        <w:t>Европейская комиссия против расизма и нетерпимости</w:t>
      </w:r>
      <w:r>
        <w:rPr>
          <w:rStyle w:val="Footnote Reference"/>
          <w:rFonts w:ascii="Cambria" w:cs="Cambria" w:hAnsi="Cambria" w:eastAsia="Cambria"/>
          <w:b w:val="0"/>
          <w:bCs w:val="0"/>
          <w:i w:val="0"/>
          <w:iCs w:val="0"/>
        </w:rPr>
        <w:footnoteReference w:id="16"/>
      </w:r>
      <w:r>
        <w:rPr>
          <w:rtl w:val="0"/>
          <w:lang w:val="en-US"/>
        </w:rPr>
        <w:t xml:space="preserve"> </w:t>
      </w:r>
      <w:r>
        <w:rPr>
          <w:rFonts w:ascii="Cambria Bold" w:hAnsi="Cambria Bold"/>
          <w:rtl w:val="0"/>
          <w:lang w:val="en-US"/>
        </w:rPr>
        <w:t>(ECRI):</w:t>
      </w:r>
      <w:r>
        <w:rPr>
          <w:rtl w:val="0"/>
          <w:lang w:val="en-US"/>
        </w:rPr>
        <w:t xml:space="preserve"> ECRI </w:t>
      </w:r>
      <w:r>
        <w:rPr>
          <w:rtl w:val="0"/>
          <w:lang w:val="en-US"/>
        </w:rPr>
        <w:t>неоднократно указывала на ответственность публичных фигур воздерживаться от нетерпимости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 xml:space="preserve">В </w:t>
      </w:r>
      <w:r>
        <w:rPr>
          <w:rtl w:val="0"/>
          <w:lang w:val="en-US"/>
        </w:rPr>
        <w:t xml:space="preserve">2012 </w:t>
      </w:r>
      <w:r>
        <w:rPr>
          <w:rtl w:val="0"/>
          <w:lang w:val="en-US"/>
        </w:rPr>
        <w:t xml:space="preserve">году </w:t>
      </w:r>
      <w:r>
        <w:rPr>
          <w:rtl w:val="0"/>
          <w:lang w:val="en-US"/>
        </w:rPr>
        <w:t xml:space="preserve">ECRI, </w:t>
      </w:r>
      <w:r>
        <w:rPr>
          <w:rtl w:val="0"/>
          <w:lang w:val="en-US"/>
        </w:rPr>
        <w:t>реагируя на случаи оправдания насилия против меньшинств в Армении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заявила</w:t>
      </w:r>
      <w:r>
        <w:rPr>
          <w:rStyle w:val="Footnote Reference"/>
          <w:rFonts w:ascii="Cambria" w:cs="Cambria" w:hAnsi="Cambria" w:eastAsia="Cambria"/>
          <w:b w:val="0"/>
          <w:bCs w:val="0"/>
          <w:i w:val="0"/>
          <w:iCs w:val="0"/>
        </w:rPr>
        <w:footnoteReference w:id="17"/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что подобные высказывания ведущих политиков создают </w:t>
      </w:r>
      <w:r>
        <w:rPr>
          <w:rFonts w:ascii="Cambria Bold" w:hAnsi="Cambria Bold" w:hint="default"/>
          <w:rtl w:val="0"/>
          <w:lang w:val="en-US"/>
        </w:rPr>
        <w:t>опасную атмосферу безнаказанности</w:t>
      </w:r>
      <w:r>
        <w:rPr>
          <w:rtl w:val="0"/>
          <w:lang w:val="en-US"/>
        </w:rPr>
        <w:t xml:space="preserve"> и подрывают уважение к правам человека</w:t>
      </w:r>
      <w:r>
        <w:rPr>
          <w:rtl w:val="0"/>
          <w:lang w:val="en-US"/>
        </w:rPr>
        <w:t xml:space="preserve">. ECRI </w:t>
      </w:r>
      <w:r>
        <w:rPr>
          <w:rtl w:val="0"/>
          <w:lang w:val="en-US"/>
        </w:rPr>
        <w:t xml:space="preserve">призвала </w:t>
      </w:r>
      <w:r>
        <w:rPr>
          <w:rFonts w:ascii="Cambria Bold" w:hAnsi="Cambria Bold" w:hint="default"/>
          <w:rtl w:val="0"/>
          <w:lang w:val="en-US"/>
        </w:rPr>
        <w:t>всех армянских политических деятелей решительно дистанцироваться от экстремальных выражений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несовместимых с ценностями Совета Европы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Аналогия очевидна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 xml:space="preserve">слова Ани Хачатрян – пример экстремально нетерпимого высказывания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ксенофобии</w:t>
      </w:r>
      <w:r>
        <w:rPr>
          <w:rtl w:val="0"/>
          <w:lang w:val="en-US"/>
        </w:rPr>
        <w:t xml:space="preserve">), </w:t>
      </w:r>
      <w:r>
        <w:rPr>
          <w:rtl w:val="0"/>
          <w:lang w:val="en-US"/>
        </w:rPr>
        <w:t>от которого должны дистанцироваться и которое должны осудить как ее политическая партия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так и власти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Без этого создается впечатление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что подобная риторика поощряется или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по крайней мере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терпимо относится государством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что противоречит рекомендациям </w:t>
      </w:r>
      <w:r>
        <w:rPr>
          <w:rtl w:val="0"/>
          <w:lang w:val="en-US"/>
        </w:rPr>
        <w:t xml:space="preserve">ECRI </w:t>
      </w:r>
      <w:r>
        <w:rPr>
          <w:rtl w:val="0"/>
          <w:lang w:val="en-US"/>
        </w:rPr>
        <w:t>и обязанностям Армении по Совету Европы</w:t>
      </w:r>
      <w:r>
        <w:rPr>
          <w:rtl w:val="0"/>
          <w:lang w:val="en-US"/>
        </w:rPr>
        <w:t>.</w:t>
      </w:r>
    </w:p>
    <w:p>
      <w:pPr>
        <w:pStyle w:val="Body Text"/>
      </w:pPr>
      <w:r>
        <w:rPr>
          <w:rFonts w:ascii="Cambria Bold" w:hAnsi="Cambria Bold" w:hint="default"/>
          <w:rtl w:val="0"/>
          <w:lang w:val="en-US"/>
        </w:rPr>
        <w:t>Парламентская Ассамблея СЕ</w:t>
      </w:r>
      <w:r>
        <w:rPr>
          <w:rStyle w:val="Footnote Reference"/>
          <w:rFonts w:ascii="Cambria" w:cs="Cambria" w:hAnsi="Cambria" w:eastAsia="Cambria"/>
          <w:b w:val="0"/>
          <w:bCs w:val="0"/>
          <w:i w:val="0"/>
          <w:iCs w:val="0"/>
        </w:rPr>
        <w:footnoteReference w:id="18"/>
      </w:r>
      <w:r>
        <w:rPr>
          <w:rtl w:val="0"/>
          <w:lang w:val="en-US"/>
        </w:rPr>
        <w:t xml:space="preserve"> </w:t>
      </w:r>
      <w:r>
        <w:rPr>
          <w:rFonts w:ascii="Cambria Bold" w:hAnsi="Cambria Bold" w:hint="default"/>
          <w:rtl w:val="0"/>
          <w:lang w:val="en-US"/>
        </w:rPr>
        <w:t>и Комиссар по правам человека</w:t>
      </w:r>
      <w:r>
        <w:rPr>
          <w:rFonts w:ascii="Cambria Bold" w:hAnsi="Cambria Bold"/>
          <w:rtl w:val="0"/>
          <w:lang w:val="en-US"/>
        </w:rPr>
        <w:t>:</w:t>
      </w:r>
      <w:r>
        <w:rPr>
          <w:rtl w:val="0"/>
          <w:lang w:val="en-US"/>
        </w:rPr>
        <w:t xml:space="preserve"> Эти институты также осуждают </w:t>
      </w:r>
      <w:r>
        <w:rPr>
          <w:rFonts w:ascii="Cambria Bold" w:hAnsi="Cambria Bold" w:hint="default"/>
          <w:rtl w:val="0"/>
          <w:lang w:val="en-US"/>
        </w:rPr>
        <w:t>ксенофобию и расизм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ПАСЕ в своих резолюциях призывает государства пресекать случаи ксенофобских высказываний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особенно исходящих от должностных лиц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поскольку они наносят вред демократическим ценностям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Комиссар СЕ по правам человека традиционно уделяет внимание языку вражды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 xml:space="preserve">в контексте Армении в прошлые годы отмечались проблемы с нетерпимостью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чаще по отношению к религиозным или сексуальным меньшинствам</w:t>
      </w:r>
      <w:r>
        <w:rPr>
          <w:rtl w:val="0"/>
          <w:lang w:val="en-US"/>
        </w:rPr>
        <w:t xml:space="preserve">), </w:t>
      </w:r>
      <w:r>
        <w:rPr>
          <w:rtl w:val="0"/>
          <w:lang w:val="en-US"/>
        </w:rPr>
        <w:t>и Комиссар призывал к воспитанию культуры толерантности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 xml:space="preserve">В нашем случае налицо </w:t>
      </w:r>
      <w:r>
        <w:rPr>
          <w:rFonts w:ascii="Cambria Bold" w:hAnsi="Cambria Bold" w:hint="default"/>
          <w:rtl w:val="0"/>
          <w:lang w:val="en-US"/>
        </w:rPr>
        <w:t>ксенофобское высказывание</w:t>
      </w:r>
      <w:r>
        <w:rPr>
          <w:rtl w:val="0"/>
          <w:lang w:val="en-US"/>
        </w:rPr>
        <w:t xml:space="preserve"> представителя власти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что явно идет вразрез с принципами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продвигаемыми СЕ</w:t>
      </w:r>
      <w:r>
        <w:rPr>
          <w:rtl w:val="0"/>
          <w:lang w:val="en-US"/>
        </w:rPr>
        <w:t>.</w:t>
      </w:r>
    </w:p>
    <w:p>
      <w:pPr>
        <w:pStyle w:val="Body Text"/>
      </w:pPr>
      <w:r>
        <w:rPr>
          <w:rFonts w:ascii="Cambria Bold" w:hAnsi="Cambria Bold"/>
          <w:rtl w:val="0"/>
          <w:lang w:val="en-US"/>
        </w:rPr>
        <w:t xml:space="preserve">2.3 </w:t>
      </w:r>
      <w:r>
        <w:rPr>
          <w:rFonts w:ascii="Cambria Bold" w:hAnsi="Cambria Bold" w:hint="default"/>
          <w:rtl w:val="0"/>
          <w:lang w:val="en-US"/>
        </w:rPr>
        <w:t>ОБСЕ</w:t>
      </w:r>
      <w:r>
        <w:rPr>
          <w:rStyle w:val="Footnote Reference"/>
          <w:rFonts w:ascii="Cambria" w:cs="Cambria" w:hAnsi="Cambria" w:eastAsia="Cambria"/>
          <w:b w:val="0"/>
          <w:bCs w:val="0"/>
          <w:i w:val="0"/>
          <w:iCs w:val="0"/>
        </w:rPr>
        <w:footnoteReference w:id="19"/>
      </w:r>
      <w:r>
        <w:rPr>
          <w:rtl w:val="0"/>
          <w:lang w:val="en-US"/>
        </w:rPr>
        <w:t xml:space="preserve"> </w:t>
      </w:r>
      <w:r>
        <w:rPr>
          <w:rFonts w:ascii="Cambria Bold" w:hAnsi="Cambria Bold"/>
          <w:rtl w:val="0"/>
          <w:lang w:val="en-US"/>
        </w:rPr>
        <w:t>(</w:t>
      </w:r>
      <w:r>
        <w:rPr>
          <w:rFonts w:ascii="Cambria Bold" w:hAnsi="Cambria Bold" w:hint="default"/>
          <w:rtl w:val="0"/>
          <w:lang w:val="en-US"/>
        </w:rPr>
        <w:t>Организация по безопасности и сотрудничеству в Европе</w:t>
      </w:r>
      <w:r>
        <w:rPr>
          <w:rFonts w:ascii="Cambria Bold" w:hAnsi="Cambria Bold"/>
          <w:rtl w:val="0"/>
          <w:lang w:val="en-US"/>
        </w:rPr>
        <w:t>)</w:t>
      </w:r>
    </w:p>
    <w:p>
      <w:pPr>
        <w:pStyle w:val="Body Text"/>
      </w:pPr>
      <w:r>
        <w:rPr>
          <w:rtl w:val="0"/>
          <w:lang w:val="en-US"/>
        </w:rPr>
        <w:t>Армения как участник ОБСЕ взяла на себя политические обязательства противодействовать нетерпимости</w:t>
      </w:r>
      <w:r>
        <w:rPr>
          <w:rtl w:val="0"/>
          <w:lang w:val="en-US"/>
        </w:rPr>
        <w:t>.</w:t>
      </w:r>
    </w:p>
    <w:p>
      <w:pPr>
        <w:pStyle w:val="Body Text"/>
      </w:pPr>
      <w:r>
        <w:rPr>
          <w:rtl w:val="0"/>
          <w:lang w:val="en-US"/>
        </w:rPr>
        <w:t xml:space="preserve">• </w:t>
      </w:r>
      <w:r>
        <w:rPr>
          <w:rFonts w:ascii="Cambria Bold" w:hAnsi="Cambria Bold" w:hint="default"/>
          <w:rtl w:val="0"/>
          <w:lang w:val="en-US"/>
        </w:rPr>
        <w:t xml:space="preserve">Совместная декларация </w:t>
      </w:r>
      <w:r>
        <w:rPr>
          <w:rFonts w:ascii="Cambria Bold" w:hAnsi="Cambria Bold"/>
          <w:rtl w:val="0"/>
          <w:lang w:val="en-US"/>
        </w:rPr>
        <w:t xml:space="preserve">2021 </w:t>
      </w:r>
      <w:r>
        <w:rPr>
          <w:rFonts w:ascii="Cambria Bold" w:hAnsi="Cambria Bold" w:hint="default"/>
          <w:rtl w:val="0"/>
          <w:lang w:val="en-US"/>
        </w:rPr>
        <w:t>года</w:t>
      </w:r>
      <w:r>
        <w:rPr>
          <w:rStyle w:val="Footnote Reference"/>
          <w:rFonts w:ascii="Cambria" w:cs="Cambria" w:hAnsi="Cambria" w:eastAsia="Cambria"/>
          <w:b w:val="0"/>
          <w:bCs w:val="0"/>
          <w:i w:val="0"/>
          <w:iCs w:val="0"/>
        </w:rPr>
        <w:footnoteReference w:id="20"/>
      </w:r>
      <w:r>
        <w:rPr>
          <w:rtl w:val="0"/>
          <w:lang w:val="en-US"/>
        </w:rPr>
        <w:t xml:space="preserve"> (</w:t>
      </w:r>
      <w:r>
        <w:rPr>
          <w:rtl w:val="0"/>
          <w:lang w:val="en-US"/>
        </w:rPr>
        <w:t>ООН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ОБСЕ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ОАГ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АКПЧ</w:t>
      </w:r>
      <w:r>
        <w:rPr>
          <w:rtl w:val="0"/>
          <w:lang w:val="en-US"/>
        </w:rPr>
        <w:t xml:space="preserve">) </w:t>
      </w:r>
      <w:r>
        <w:rPr>
          <w:rtl w:val="0"/>
          <w:lang w:val="en-US"/>
        </w:rPr>
        <w:t>о свободе выражения и политиках прямо отмечает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что международные стандарты требуют</w:t>
      </w:r>
      <w:r>
        <w:rPr>
          <w:rtl w:val="0"/>
          <w:lang w:val="en-US"/>
        </w:rPr>
        <w:t xml:space="preserve">, </w:t>
      </w:r>
      <w:r>
        <w:rPr>
          <w:rFonts w:ascii="Cambria Bold" w:hAnsi="Cambria Bold" w:hint="default"/>
          <w:rtl w:val="0"/>
          <w:lang w:val="en-US"/>
        </w:rPr>
        <w:t>чтобы все лица</w:t>
      </w:r>
      <w:r>
        <w:rPr>
          <w:rFonts w:ascii="Cambria Bold" w:hAnsi="Cambria Bold"/>
          <w:rtl w:val="0"/>
          <w:lang w:val="en-US"/>
        </w:rPr>
        <w:t xml:space="preserve">, </w:t>
      </w:r>
      <w:r>
        <w:rPr>
          <w:rFonts w:ascii="Cambria Bold" w:hAnsi="Cambria Bold" w:hint="default"/>
          <w:rtl w:val="0"/>
          <w:lang w:val="en-US"/>
        </w:rPr>
        <w:t>включая политиков и публичных должностных лиц</w:t>
      </w:r>
      <w:r>
        <w:rPr>
          <w:rFonts w:ascii="Cambria Bold" w:hAnsi="Cambria Bold"/>
          <w:rtl w:val="0"/>
          <w:lang w:val="en-US"/>
        </w:rPr>
        <w:t xml:space="preserve">, </w:t>
      </w:r>
      <w:r>
        <w:rPr>
          <w:rFonts w:ascii="Cambria Bold" w:hAnsi="Cambria Bold" w:hint="default"/>
          <w:rtl w:val="0"/>
          <w:lang w:val="en-US"/>
        </w:rPr>
        <w:t>воздерживались от пропаганды ненависти</w:t>
      </w:r>
      <w:r>
        <w:rPr>
          <w:rFonts w:ascii="Cambria Bold" w:hAnsi="Cambria Bold"/>
          <w:rtl w:val="0"/>
          <w:lang w:val="en-US"/>
        </w:rPr>
        <w:t xml:space="preserve">, </w:t>
      </w:r>
      <w:r>
        <w:rPr>
          <w:rFonts w:ascii="Cambria Bold" w:hAnsi="Cambria Bold" w:hint="default"/>
          <w:rtl w:val="0"/>
          <w:lang w:val="en-US"/>
        </w:rPr>
        <w:t>которая составляет подстрекательство к дискриминации</w:t>
      </w:r>
      <w:r>
        <w:rPr>
          <w:rFonts w:ascii="Cambria Bold" w:hAnsi="Cambria Bold"/>
          <w:rtl w:val="0"/>
          <w:lang w:val="en-US"/>
        </w:rPr>
        <w:t xml:space="preserve">, </w:t>
      </w:r>
      <w:r>
        <w:rPr>
          <w:rFonts w:ascii="Cambria Bold" w:hAnsi="Cambria Bold" w:hint="default"/>
          <w:rtl w:val="0"/>
          <w:lang w:val="en-US"/>
        </w:rPr>
        <w:t>враждебности или насилию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То есть на лидерах и чиновниках лежит особая ответственность не использовать язык вражды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 xml:space="preserve">Декларация также подчеркивает </w:t>
      </w:r>
      <w:r>
        <w:rPr>
          <w:rFonts w:ascii="Cambria Bold" w:hAnsi="Cambria Bold" w:hint="default"/>
          <w:rtl w:val="0"/>
          <w:lang w:val="en-US"/>
        </w:rPr>
        <w:t>моральный императив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публичные фигуры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напротив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должны активно выступать против проявлений нетерпимости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а не поощрять их</w:t>
      </w:r>
      <w:r>
        <w:rPr>
          <w:rtl w:val="0"/>
          <w:lang w:val="en-US"/>
        </w:rPr>
        <w:t>.</w:t>
      </w:r>
    </w:p>
    <w:p>
      <w:pPr>
        <w:pStyle w:val="Body Text"/>
      </w:pPr>
      <w:r>
        <w:rPr>
          <w:rtl w:val="0"/>
          <w:lang w:val="en-US"/>
        </w:rPr>
        <w:t xml:space="preserve">• </w:t>
      </w:r>
      <w:r>
        <w:rPr>
          <w:rFonts w:ascii="Cambria Bold" w:hAnsi="Cambria Bold" w:hint="default"/>
          <w:rtl w:val="0"/>
          <w:lang w:val="en-US"/>
        </w:rPr>
        <w:t>Комитет ОБСЕ по толерантности</w:t>
      </w:r>
      <w:r>
        <w:rPr>
          <w:rFonts w:ascii="Cambria Bold" w:hAnsi="Cambria Bold"/>
          <w:rtl w:val="0"/>
          <w:lang w:val="en-US"/>
        </w:rPr>
        <w:t>:</w:t>
      </w:r>
      <w:r>
        <w:rPr>
          <w:rtl w:val="0"/>
          <w:lang w:val="en-US"/>
        </w:rPr>
        <w:t xml:space="preserve"> ОБСЕ ежегодно отслеживает проявления ненависти и призывает государства принимать меры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В рамках ОБСЕ существует практика обмена данными о преступлениях на почве ненависти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Выступление А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Хачатрян хотя и не было преступлением с насилием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относится к </w:t>
      </w:r>
      <w:r>
        <w:rPr>
          <w:rFonts w:ascii="Cambria Bold" w:hAnsi="Cambria Bold" w:hint="default"/>
          <w:rtl w:val="0"/>
          <w:lang w:val="en-US"/>
        </w:rPr>
        <w:t>инцидентам ненависти</w:t>
      </w:r>
      <w:r>
        <w:rPr>
          <w:rtl w:val="0"/>
          <w:lang w:val="en-US"/>
        </w:rPr>
        <w:t xml:space="preserve"> (hate incidents), </w:t>
      </w:r>
      <w:r>
        <w:rPr>
          <w:rtl w:val="0"/>
          <w:lang w:val="en-US"/>
        </w:rPr>
        <w:t>которые тоже должны пресекаться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ОБСЕ ожидает от государств осуждения ксенофобских высказываний публичных персон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поскольку они могут провоцировать более серьезные инциденты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Например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БДИПЧ</w:t>
      </w:r>
      <w:r>
        <w:rPr>
          <w:rStyle w:val="Footnote Reference"/>
          <w:rFonts w:ascii="Cambria" w:cs="Cambria" w:hAnsi="Cambria" w:eastAsia="Cambria"/>
          <w:b w:val="0"/>
          <w:bCs w:val="0"/>
          <w:i w:val="0"/>
          <w:iCs w:val="0"/>
        </w:rPr>
        <w:footnoteReference w:id="21"/>
      </w:r>
      <w:r>
        <w:rPr>
          <w:rtl w:val="0"/>
          <w:lang w:val="en-US"/>
        </w:rPr>
        <w:t>/</w:t>
      </w:r>
      <w:r>
        <w:rPr>
          <w:rtl w:val="0"/>
          <w:lang w:val="en-US"/>
        </w:rPr>
        <w:t>ОБСЕ и Представитель ОБСЕ по свободе СМИ обращали внимание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что </w:t>
      </w:r>
      <w:r>
        <w:rPr>
          <w:rFonts w:ascii="Cambria Bold" w:hAnsi="Cambria Bold" w:hint="default"/>
          <w:rtl w:val="0"/>
          <w:lang w:val="en-US"/>
        </w:rPr>
        <w:t>ксенофобская риторика властей недопустима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так как она подрывает общую безопасность и разжигает рознь</w:t>
      </w:r>
      <w:r>
        <w:rPr>
          <w:rtl w:val="0"/>
          <w:lang w:val="en-US"/>
        </w:rPr>
        <w:t>.</w:t>
      </w:r>
    </w:p>
    <w:p>
      <w:pPr>
        <w:pStyle w:val="Body Text"/>
      </w:pPr>
      <w:r>
        <w:rPr>
          <w:rFonts w:ascii="Cambria Bold" w:hAnsi="Cambria Bold"/>
          <w:rtl w:val="0"/>
          <w:lang w:val="en-US"/>
        </w:rPr>
        <w:t xml:space="preserve">2.4 </w:t>
      </w:r>
      <w:r>
        <w:rPr>
          <w:rFonts w:ascii="Cambria Bold" w:hAnsi="Cambria Bold" w:hint="default"/>
          <w:rtl w:val="0"/>
          <w:lang w:val="en-US"/>
        </w:rPr>
        <w:t>Обязательства по линии ООН</w:t>
      </w:r>
    </w:p>
    <w:p>
      <w:pPr>
        <w:pStyle w:val="Body Text"/>
      </w:pPr>
      <w:r>
        <w:rPr>
          <w:rFonts w:ascii="Cambria Bold" w:hAnsi="Cambria Bold" w:hint="default"/>
          <w:rtl w:val="0"/>
          <w:lang w:val="en-US"/>
        </w:rPr>
        <w:t>Международный пакт о гражданских и политических правах</w:t>
      </w:r>
      <w:r>
        <w:rPr>
          <w:rStyle w:val="Footnote Reference"/>
          <w:rFonts w:ascii="Cambria" w:cs="Cambria" w:hAnsi="Cambria" w:eastAsia="Cambria"/>
          <w:b w:val="0"/>
          <w:bCs w:val="0"/>
          <w:i w:val="0"/>
          <w:iCs w:val="0"/>
        </w:rPr>
        <w:footnoteReference w:id="22"/>
      </w:r>
      <w:r>
        <w:rPr>
          <w:rFonts w:ascii="Cambria Bold" w:hAnsi="Cambria Bold"/>
          <w:rtl w:val="0"/>
          <w:lang w:val="en-US"/>
        </w:rPr>
        <w:t xml:space="preserve"> (</w:t>
      </w:r>
      <w:r>
        <w:rPr>
          <w:rFonts w:ascii="Cambria Bold" w:hAnsi="Cambria Bold" w:hint="default"/>
          <w:rtl w:val="0"/>
          <w:lang w:val="en-US"/>
        </w:rPr>
        <w:t>МПГПП</w:t>
      </w:r>
      <w:r>
        <w:rPr>
          <w:rFonts w:ascii="Cambria Bold" w:hAnsi="Cambria Bold"/>
          <w:rtl w:val="0"/>
          <w:lang w:val="en-US"/>
        </w:rPr>
        <w:t>):</w:t>
      </w:r>
      <w:r>
        <w:rPr>
          <w:rtl w:val="0"/>
          <w:lang w:val="en-US"/>
        </w:rPr>
        <w:t xml:space="preserve"> Армения – участник МПГПП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статья </w:t>
      </w:r>
      <w:r>
        <w:rPr>
          <w:rtl w:val="0"/>
          <w:lang w:val="en-US"/>
        </w:rPr>
        <w:t xml:space="preserve">20(2) </w:t>
      </w:r>
      <w:r>
        <w:rPr>
          <w:rtl w:val="0"/>
          <w:lang w:val="en-US"/>
        </w:rPr>
        <w:t>которого гласит</w:t>
      </w:r>
      <w:r>
        <w:rPr>
          <w:rtl w:val="0"/>
          <w:lang w:val="en-US"/>
        </w:rPr>
        <w:t xml:space="preserve">: </w:t>
      </w:r>
      <w:r>
        <w:rPr>
          <w:rFonts w:ascii="Cambria Italic" w:hAnsi="Cambria Italic" w:hint="default"/>
          <w:rtl w:val="0"/>
          <w:lang w:val="en-US"/>
        </w:rPr>
        <w:t>«Всякое выступление в пользу национальной</w:t>
      </w:r>
      <w:r>
        <w:rPr>
          <w:rFonts w:ascii="Cambria Italic" w:hAnsi="Cambria Italic"/>
          <w:rtl w:val="0"/>
          <w:lang w:val="en-US"/>
        </w:rPr>
        <w:t xml:space="preserve">, </w:t>
      </w:r>
      <w:r>
        <w:rPr>
          <w:rFonts w:ascii="Cambria Italic" w:hAnsi="Cambria Italic" w:hint="default"/>
          <w:rtl w:val="0"/>
          <w:lang w:val="en-US"/>
        </w:rPr>
        <w:t>расовой или религиозной ненависти</w:t>
      </w:r>
      <w:r>
        <w:rPr>
          <w:rFonts w:ascii="Cambria Italic" w:hAnsi="Cambria Italic"/>
          <w:rtl w:val="0"/>
          <w:lang w:val="en-US"/>
        </w:rPr>
        <w:t xml:space="preserve">, </w:t>
      </w:r>
      <w:r>
        <w:rPr>
          <w:rFonts w:ascii="Cambria Italic" w:hAnsi="Cambria Italic" w:hint="default"/>
          <w:rtl w:val="0"/>
          <w:lang w:val="en-US"/>
        </w:rPr>
        <w:t>представляющее собой подстрекательство к дискриминации</w:t>
      </w:r>
      <w:r>
        <w:rPr>
          <w:rFonts w:ascii="Cambria Italic" w:hAnsi="Cambria Italic"/>
          <w:rtl w:val="0"/>
          <w:lang w:val="en-US"/>
        </w:rPr>
        <w:t xml:space="preserve">, </w:t>
      </w:r>
      <w:r>
        <w:rPr>
          <w:rFonts w:ascii="Cambria Italic" w:hAnsi="Cambria Italic" w:hint="default"/>
          <w:rtl w:val="0"/>
          <w:lang w:val="en-US"/>
        </w:rPr>
        <w:t>вражде или насилию</w:t>
      </w:r>
      <w:r>
        <w:rPr>
          <w:rFonts w:ascii="Cambria Italic" w:hAnsi="Cambria Italic"/>
          <w:rtl w:val="0"/>
          <w:lang w:val="en-US"/>
        </w:rPr>
        <w:t xml:space="preserve">, </w:t>
      </w:r>
      <w:r>
        <w:rPr>
          <w:rFonts w:ascii="Cambria Italic" w:hAnsi="Cambria Italic" w:hint="default"/>
          <w:rtl w:val="0"/>
          <w:lang w:val="en-US"/>
        </w:rPr>
        <w:t>должно быть запрещено законом</w:t>
      </w:r>
      <w:r>
        <w:rPr>
          <w:rFonts w:ascii="Cambria Italic" w:hAnsi="Cambria Italic"/>
          <w:rtl w:val="0"/>
          <w:lang w:val="en-US"/>
        </w:rPr>
        <w:t>.</w:t>
      </w:r>
      <w:r>
        <w:rPr>
          <w:rFonts w:ascii="Cambria Italic" w:hAnsi="Cambria Italic" w:hint="default"/>
          <w:rtl w:val="0"/>
          <w:lang w:val="en-US"/>
        </w:rPr>
        <w:t>»</w:t>
      </w:r>
      <w:r>
        <w:rPr>
          <w:rtl w:val="0"/>
          <w:lang w:val="en-US"/>
        </w:rPr>
        <w:t xml:space="preserve"> . </w:t>
      </w:r>
      <w:r>
        <w:rPr>
          <w:rtl w:val="0"/>
          <w:lang w:val="en-US"/>
        </w:rPr>
        <w:t xml:space="preserve">Это прямое обязательство государства уголовно или иным образом пресекать </w:t>
      </w:r>
      <w:r>
        <w:rPr>
          <w:rFonts w:ascii="Cambria Bold" w:hAnsi="Cambria Bold" w:hint="default"/>
          <w:rtl w:val="0"/>
          <w:lang w:val="en-US"/>
        </w:rPr>
        <w:t>разжигание национальной ненависти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Соответственно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высказывание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подобное сделанному Хачатрян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подпадает под определение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данное в ст</w:t>
      </w:r>
      <w:r>
        <w:rPr>
          <w:rtl w:val="0"/>
          <w:lang w:val="en-US"/>
        </w:rPr>
        <w:t xml:space="preserve">. 20(2) </w:t>
      </w:r>
      <w:r>
        <w:rPr>
          <w:rtl w:val="0"/>
          <w:lang w:val="en-US"/>
        </w:rPr>
        <w:t xml:space="preserve">МПГПП </w:t>
      </w:r>
      <w:r>
        <w:rPr>
          <w:rtl w:val="0"/>
          <w:lang w:val="en-US"/>
        </w:rPr>
        <w:t xml:space="preserve">(advocacy of national hatred inciting hostility or discrimination) </w:t>
      </w:r>
      <w:r>
        <w:rPr>
          <w:rtl w:val="0"/>
          <w:lang w:val="en-US"/>
        </w:rPr>
        <w:t xml:space="preserve">– оно </w:t>
      </w:r>
      <w:r>
        <w:rPr>
          <w:rFonts w:ascii="Cambria Bold" w:hAnsi="Cambria Bold" w:hint="default"/>
          <w:rtl w:val="0"/>
          <w:lang w:val="en-US"/>
        </w:rPr>
        <w:t>должно быть запрещено законом и повлечь реакцию государства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Отсутствие должной реакции противоречило бы обязанностям по Пакту</w:t>
      </w:r>
      <w:r>
        <w:rPr>
          <w:rtl w:val="0"/>
          <w:lang w:val="en-US"/>
        </w:rPr>
        <w:t>.</w:t>
      </w:r>
    </w:p>
    <w:p>
      <w:pPr>
        <w:pStyle w:val="Body Text"/>
      </w:pPr>
      <w:r>
        <w:rPr>
          <w:rFonts w:ascii="Cambria Bold" w:hAnsi="Cambria Bold" w:hint="default"/>
          <w:rtl w:val="0"/>
          <w:lang w:val="en-US"/>
        </w:rPr>
        <w:t>Международная конвенция о ликвидации всех форм расовой дискриминации</w:t>
      </w:r>
      <w:r>
        <w:rPr>
          <w:rStyle w:val="Footnote Reference"/>
          <w:rFonts w:ascii="Cambria" w:cs="Cambria" w:hAnsi="Cambria" w:eastAsia="Cambria"/>
          <w:b w:val="0"/>
          <w:bCs w:val="0"/>
          <w:i w:val="0"/>
          <w:iCs w:val="0"/>
        </w:rPr>
        <w:footnoteReference w:id="23"/>
      </w:r>
      <w:r>
        <w:rPr>
          <w:rFonts w:ascii="Cambria Bold" w:hAnsi="Cambria Bold"/>
          <w:rtl w:val="0"/>
          <w:lang w:val="en-US"/>
        </w:rPr>
        <w:t xml:space="preserve"> (ICERD):</w:t>
      </w:r>
      <w:r>
        <w:rPr>
          <w:rtl w:val="0"/>
          <w:lang w:val="en-US"/>
        </w:rPr>
        <w:t xml:space="preserve"> Армения также ратифицировала эту конвенцию</w:t>
      </w:r>
      <w:r>
        <w:rPr>
          <w:rtl w:val="0"/>
          <w:lang w:val="en-US"/>
        </w:rPr>
        <w:t xml:space="preserve">. </w:t>
      </w:r>
      <w:r>
        <w:rPr>
          <w:rFonts w:ascii="Cambria Bold" w:hAnsi="Cambria Bold" w:hint="default"/>
          <w:rtl w:val="0"/>
          <w:lang w:val="en-US"/>
        </w:rPr>
        <w:t xml:space="preserve">Статья </w:t>
      </w:r>
      <w:r>
        <w:rPr>
          <w:rFonts w:ascii="Cambria Bold" w:hAnsi="Cambria Bold"/>
          <w:rtl w:val="0"/>
          <w:lang w:val="en-US"/>
        </w:rPr>
        <w:t>4 ICERD</w:t>
      </w:r>
      <w:r>
        <w:rPr>
          <w:rtl w:val="0"/>
          <w:lang w:val="en-US"/>
        </w:rPr>
        <w:t xml:space="preserve"> требует от государств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участников объявлять преступлением все распространение идей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основанных на расовом превосходстве или ненависти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и </w:t>
      </w:r>
      <w:r>
        <w:rPr>
          <w:rFonts w:ascii="Cambria Bold" w:hAnsi="Cambria Bold" w:hint="default"/>
          <w:rtl w:val="0"/>
          <w:lang w:val="en-US"/>
        </w:rPr>
        <w:t>запрещать публичные органы или государственных служащих от поощрения расовой дискриминации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То есть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государство обязано </w:t>
      </w:r>
      <w:r>
        <w:rPr>
          <w:rFonts w:ascii="Cambria Bold" w:hAnsi="Cambria Bold" w:hint="default"/>
          <w:rtl w:val="0"/>
          <w:lang w:val="en-US"/>
        </w:rPr>
        <w:t>осудить и наказывать</w:t>
      </w:r>
      <w:r>
        <w:rPr>
          <w:rtl w:val="0"/>
          <w:lang w:val="en-US"/>
        </w:rPr>
        <w:t xml:space="preserve"> публичные проявления расовой</w:t>
      </w:r>
      <w:r>
        <w:rPr>
          <w:rtl w:val="0"/>
          <w:lang w:val="en-US"/>
        </w:rPr>
        <w:t>/</w:t>
      </w:r>
      <w:r>
        <w:rPr>
          <w:rtl w:val="0"/>
          <w:lang w:val="en-US"/>
        </w:rPr>
        <w:t>этнической ненависти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 xml:space="preserve">В данном случае ксенофобное заявление – очевидное нарушение духа </w:t>
      </w:r>
      <w:r>
        <w:rPr>
          <w:rtl w:val="0"/>
          <w:lang w:val="en-US"/>
        </w:rPr>
        <w:t xml:space="preserve">ICERD. </w:t>
      </w:r>
      <w:r>
        <w:rPr>
          <w:rtl w:val="0"/>
          <w:lang w:val="en-US"/>
        </w:rPr>
        <w:t xml:space="preserve">Комитет ООН по ликвидации расовой дискриминации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 xml:space="preserve">наблюдающий орган </w:t>
      </w:r>
      <w:r>
        <w:rPr>
          <w:rtl w:val="0"/>
          <w:lang w:val="en-US"/>
        </w:rPr>
        <w:t xml:space="preserve">ICERD) </w:t>
      </w:r>
      <w:r>
        <w:rPr>
          <w:rtl w:val="0"/>
          <w:lang w:val="en-US"/>
        </w:rPr>
        <w:t>в своих общих рекомендациях подчеркивает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что </w:t>
      </w:r>
      <w:r>
        <w:rPr>
          <w:rFonts w:ascii="Cambria Italic" w:hAnsi="Cambria Italic" w:hint="default"/>
          <w:rtl w:val="0"/>
          <w:lang w:val="en-US"/>
        </w:rPr>
        <w:t>высказывания должностных лиц</w:t>
      </w:r>
      <w:r>
        <w:rPr>
          <w:rFonts w:ascii="Cambria Italic" w:hAnsi="Cambria Italic"/>
          <w:rtl w:val="0"/>
          <w:lang w:val="en-US"/>
        </w:rPr>
        <w:t xml:space="preserve">, </w:t>
      </w:r>
      <w:r>
        <w:rPr>
          <w:rFonts w:ascii="Cambria Italic" w:hAnsi="Cambria Italic" w:hint="default"/>
          <w:rtl w:val="0"/>
          <w:lang w:val="en-US"/>
        </w:rPr>
        <w:t>сеющие ксенофобию</w:t>
      </w:r>
      <w:r>
        <w:rPr>
          <w:rFonts w:ascii="Cambria Italic" w:hAnsi="Cambria Italic"/>
          <w:rtl w:val="0"/>
          <w:lang w:val="en-US"/>
        </w:rPr>
        <w:t xml:space="preserve">, </w:t>
      </w:r>
      <w:r>
        <w:rPr>
          <w:rFonts w:ascii="Cambria Italic" w:hAnsi="Cambria Italic" w:hint="default"/>
          <w:rtl w:val="0"/>
          <w:lang w:val="en-US"/>
        </w:rPr>
        <w:t>особенно опасны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и государства должны реагировать на них немедленно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вплоть до отстранения таких лиц или преследования</w:t>
      </w:r>
      <w:r>
        <w:rPr>
          <w:rtl w:val="0"/>
          <w:lang w:val="en-US"/>
        </w:rPr>
        <w:t>).</w:t>
      </w:r>
    </w:p>
    <w:p>
      <w:pPr>
        <w:pStyle w:val="Body Text"/>
      </w:pPr>
      <w:r>
        <w:rPr>
          <w:rFonts w:ascii="Cambria Bold" w:hAnsi="Cambria Bold" w:hint="default"/>
          <w:rtl w:val="0"/>
          <w:lang w:val="en-US"/>
        </w:rPr>
        <w:t>Другие документы ООН</w:t>
      </w:r>
      <w:r>
        <w:rPr>
          <w:rFonts w:ascii="Cambria Bold" w:hAnsi="Cambria Bold"/>
          <w:rtl w:val="0"/>
          <w:lang w:val="en-US"/>
        </w:rPr>
        <w:t>:</w:t>
      </w:r>
      <w:r>
        <w:rPr>
          <w:rtl w:val="0"/>
          <w:lang w:val="en-US"/>
        </w:rPr>
        <w:t xml:space="preserve"> Совет ООН по правам человека и Генеральная Ассамблея не раз призывали страны бороться с </w:t>
      </w:r>
      <w:r>
        <w:rPr>
          <w:rFonts w:ascii="Cambria Bold" w:hAnsi="Cambria Bold" w:hint="default"/>
          <w:rtl w:val="0"/>
          <w:lang w:val="en-US"/>
        </w:rPr>
        <w:t>языком вражды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Специальный докладчик ООН по вопросам меньшинств</w:t>
      </w:r>
      <w:r>
        <w:rPr>
          <w:rStyle w:val="Footnote Reference"/>
          <w:rFonts w:ascii="Cambria" w:cs="Cambria" w:hAnsi="Cambria" w:eastAsia="Cambria"/>
          <w:b w:val="0"/>
          <w:bCs w:val="0"/>
          <w:i w:val="0"/>
          <w:iCs w:val="0"/>
        </w:rPr>
        <w:footnoteReference w:id="24"/>
      </w:r>
      <w:r>
        <w:rPr>
          <w:rtl w:val="0"/>
          <w:lang w:val="en-US"/>
        </w:rPr>
        <w:t xml:space="preserve"> указывал на необходимость принятия законов против </w:t>
      </w:r>
      <w:r>
        <w:rPr>
          <w:rtl w:val="0"/>
          <w:lang w:val="en-US"/>
        </w:rPr>
        <w:t xml:space="preserve">hate speech, </w:t>
      </w:r>
      <w:r>
        <w:rPr>
          <w:rtl w:val="0"/>
          <w:lang w:val="en-US"/>
        </w:rPr>
        <w:t>сбалансированных со свободой слова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Армения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позиционирующая себя как страна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защищающая права национальных меньшинств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должна в данном случае показать приверженность этим принципам</w:t>
      </w:r>
      <w:r>
        <w:rPr>
          <w:rtl w:val="0"/>
          <w:lang w:val="en-US"/>
        </w:rPr>
        <w:t>.</w:t>
      </w:r>
    </w:p>
    <w:p>
      <w:pPr>
        <w:pStyle w:val="Body Text"/>
      </w:pPr>
      <w:r>
        <w:rPr>
          <w:rFonts w:ascii="Cambria Bold" w:hAnsi="Cambria Bold"/>
          <w:rtl w:val="0"/>
          <w:lang w:val="en-US"/>
        </w:rPr>
        <w:t xml:space="preserve">3. </w:t>
      </w:r>
      <w:r>
        <w:rPr>
          <w:rFonts w:ascii="Cambria Bold" w:hAnsi="Cambria Bold" w:hint="default"/>
          <w:rtl w:val="0"/>
          <w:lang w:val="en-US"/>
        </w:rPr>
        <w:t>Нарушение этических норм публичного поведения должностных лиц</w:t>
      </w:r>
    </w:p>
    <w:p>
      <w:pPr>
        <w:pStyle w:val="Body Text"/>
      </w:pPr>
      <w:r>
        <w:rPr>
          <w:rtl w:val="0"/>
          <w:lang w:val="en-US"/>
        </w:rPr>
        <w:t>Даже если отвлечься от строгих юридических норм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поведение Ани Хачатрян нарушило фундаментальные </w:t>
      </w:r>
      <w:r>
        <w:rPr>
          <w:rFonts w:ascii="Cambria Bold" w:hAnsi="Cambria Bold" w:hint="default"/>
          <w:rtl w:val="0"/>
          <w:lang w:val="en-US"/>
        </w:rPr>
        <w:t>этические стандарты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которым должны следовать лица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наделенные публичной властью</w:t>
      </w:r>
      <w:r>
        <w:rPr>
          <w:rtl w:val="0"/>
          <w:lang w:val="en-US"/>
        </w:rPr>
        <w:t>:</w:t>
      </w:r>
    </w:p>
    <w:p>
      <w:pPr>
        <w:pStyle w:val="Body Text"/>
      </w:pPr>
      <w:r>
        <w:rPr>
          <w:rtl w:val="0"/>
          <w:lang w:val="en-US"/>
        </w:rPr>
        <w:t xml:space="preserve">• </w:t>
      </w:r>
      <w:r>
        <w:rPr>
          <w:rFonts w:ascii="Cambria Bold" w:hAnsi="Cambria Bold" w:hint="default"/>
          <w:rtl w:val="0"/>
          <w:lang w:val="en-US"/>
        </w:rPr>
        <w:t>Принцип непредвзятости и равного отношения</w:t>
      </w:r>
      <w:r>
        <w:rPr>
          <w:rFonts w:ascii="Cambria Bold" w:hAnsi="Cambria Bold"/>
          <w:rtl w:val="0"/>
          <w:lang w:val="en-US"/>
        </w:rPr>
        <w:t>:</w:t>
      </w:r>
      <w:r>
        <w:rPr>
          <w:rtl w:val="0"/>
          <w:lang w:val="en-US"/>
        </w:rPr>
        <w:t xml:space="preserve"> Должностные лица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депутаты муниципалитета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чиновники</w:t>
      </w:r>
      <w:r>
        <w:rPr>
          <w:rtl w:val="0"/>
          <w:lang w:val="en-US"/>
        </w:rPr>
        <w:t xml:space="preserve">) </w:t>
      </w:r>
      <w:r>
        <w:rPr>
          <w:rtl w:val="0"/>
          <w:lang w:val="en-US"/>
        </w:rPr>
        <w:t>обязаны беспристрастно относиться ко всем жителям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независимо от происхождения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 xml:space="preserve">Этика публичной службы требует </w:t>
      </w:r>
      <w:r>
        <w:rPr>
          <w:rFonts w:ascii="Cambria Bold" w:hAnsi="Cambria Bold" w:hint="default"/>
          <w:rtl w:val="0"/>
          <w:lang w:val="en-US"/>
        </w:rPr>
        <w:t>избегать предубеждений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Хачатрян же явно продемонстрировала предвзятость по национальному признаку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обозначив определенную группу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«русские»</w:t>
      </w:r>
      <w:r>
        <w:rPr>
          <w:rtl w:val="0"/>
          <w:lang w:val="en-US"/>
        </w:rPr>
        <w:t xml:space="preserve">) </w:t>
      </w:r>
      <w:r>
        <w:rPr>
          <w:rtl w:val="0"/>
          <w:lang w:val="en-US"/>
        </w:rPr>
        <w:t>как людей второго сорта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 xml:space="preserve">Это противоречит присяге служить всему населению и </w:t>
      </w:r>
      <w:r>
        <w:rPr>
          <w:rFonts w:ascii="Cambria Bold" w:hAnsi="Cambria Bold" w:hint="default"/>
          <w:rtl w:val="0"/>
          <w:lang w:val="en-US"/>
        </w:rPr>
        <w:t>подрывает доверие</w:t>
      </w:r>
      <w:r>
        <w:rPr>
          <w:rtl w:val="0"/>
          <w:lang w:val="en-US"/>
        </w:rPr>
        <w:t xml:space="preserve"> граждан к власти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 xml:space="preserve">Подобное поведение свидетельствует о </w:t>
      </w:r>
      <w:r>
        <w:rPr>
          <w:rFonts w:ascii="Cambria Bold" w:hAnsi="Cambria Bold" w:hint="default"/>
          <w:rtl w:val="0"/>
          <w:lang w:val="en-US"/>
        </w:rPr>
        <w:t>ксенофобском отношении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что недопустимо для публичного деятеля</w:t>
      </w:r>
      <w:r>
        <w:rPr>
          <w:rtl w:val="0"/>
          <w:lang w:val="en-US"/>
        </w:rPr>
        <w:t>.</w:t>
      </w:r>
    </w:p>
    <w:p>
      <w:pPr>
        <w:pStyle w:val="Body Text"/>
      </w:pPr>
      <w:r>
        <w:rPr>
          <w:rtl w:val="0"/>
          <w:lang w:val="en-US"/>
        </w:rPr>
        <w:t xml:space="preserve">• </w:t>
      </w:r>
      <w:r>
        <w:rPr>
          <w:rFonts w:ascii="Cambria Bold" w:hAnsi="Cambria Bold" w:hint="default"/>
          <w:rtl w:val="0"/>
          <w:lang w:val="en-US"/>
        </w:rPr>
        <w:t>Принцип уважительности и корректности</w:t>
      </w:r>
      <w:r>
        <w:rPr>
          <w:rFonts w:ascii="Cambria Bold" w:hAnsi="Cambria Bold"/>
          <w:rtl w:val="0"/>
          <w:lang w:val="en-US"/>
        </w:rPr>
        <w:t>:</w:t>
      </w:r>
      <w:r>
        <w:rPr>
          <w:rtl w:val="0"/>
          <w:lang w:val="en-US"/>
        </w:rPr>
        <w:t xml:space="preserve"> Как отмечалось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закон о публичной службе прямо обязывает чиновников быть выдержанными и уважительными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В международных актах также подчёркивается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что политики и должностные лица должны задавать тон общественному дискурсу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демонстрируя толерантность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Например</w:t>
      </w:r>
      <w:r>
        <w:rPr>
          <w:rtl w:val="0"/>
          <w:lang w:val="en-US"/>
        </w:rPr>
        <w:t xml:space="preserve">, </w:t>
      </w:r>
      <w:r>
        <w:rPr>
          <w:rFonts w:ascii="Cambria Bold" w:hAnsi="Cambria Bold" w:hint="default"/>
          <w:rtl w:val="0"/>
          <w:lang w:val="en-US"/>
        </w:rPr>
        <w:t>Кодекс поведения государственных служащих</w:t>
      </w:r>
      <w:r>
        <w:rPr>
          <w:rtl w:val="0"/>
          <w:lang w:val="en-US"/>
        </w:rPr>
        <w:t xml:space="preserve"> (</w:t>
      </w:r>
      <w:r>
        <w:rPr>
          <w:rtl w:val="0"/>
          <w:lang w:val="en-US"/>
        </w:rPr>
        <w:t>модельный кодекс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одобренный Правительством Армении при поддержке Совета Европы</w:t>
      </w:r>
      <w:r>
        <w:rPr>
          <w:rtl w:val="0"/>
          <w:lang w:val="en-US"/>
        </w:rPr>
        <w:t xml:space="preserve">) </w:t>
      </w:r>
      <w:r>
        <w:rPr>
          <w:rtl w:val="0"/>
          <w:lang w:val="en-US"/>
        </w:rPr>
        <w:t>устанавливает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что чиновник должен проявлять вежливость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тактичность и уважение ко всем гражданам при любых обстоятельствах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Публичное оскорбление группы людей явным образом нарушает эти заповеди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 xml:space="preserve">Это можно квалифицировать как </w:t>
      </w:r>
      <w:r>
        <w:rPr>
          <w:rFonts w:ascii="Cambria Bold" w:hAnsi="Cambria Bold" w:hint="default"/>
          <w:rtl w:val="0"/>
          <w:lang w:val="en-US"/>
        </w:rPr>
        <w:t>этический проступок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порочащий звание члена Совета старейшин</w:t>
      </w:r>
      <w:r>
        <w:rPr>
          <w:rtl w:val="0"/>
          <w:lang w:val="en-US"/>
        </w:rPr>
        <w:t>.</w:t>
      </w:r>
    </w:p>
    <w:p>
      <w:pPr>
        <w:pStyle w:val="Body Text"/>
      </w:pPr>
      <w:r>
        <w:rPr>
          <w:rtl w:val="0"/>
          <w:lang w:val="en-US"/>
        </w:rPr>
        <w:t xml:space="preserve">• </w:t>
      </w:r>
      <w:r>
        <w:rPr>
          <w:rFonts w:ascii="Cambria Bold" w:hAnsi="Cambria Bold" w:hint="default"/>
          <w:rtl w:val="0"/>
          <w:lang w:val="en-US"/>
        </w:rPr>
        <w:t>Достоинство должности</w:t>
      </w:r>
      <w:r>
        <w:rPr>
          <w:rFonts w:ascii="Cambria Bold" w:hAnsi="Cambria Bold"/>
          <w:rtl w:val="0"/>
          <w:lang w:val="en-US"/>
        </w:rPr>
        <w:t>:</w:t>
      </w:r>
      <w:r>
        <w:rPr>
          <w:rtl w:val="0"/>
          <w:lang w:val="en-US"/>
        </w:rPr>
        <w:t xml:space="preserve"> От лиц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занимающих высокие посты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ожидается определенная выдержанность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Есть неписаное правило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что </w:t>
      </w:r>
      <w:r>
        <w:rPr>
          <w:rFonts w:ascii="Cambria Bold" w:hAnsi="Cambria Bold" w:hint="default"/>
          <w:rtl w:val="0"/>
          <w:lang w:val="en-US"/>
        </w:rPr>
        <w:t>риторика ненависти и хамство несовместимы со статусом народного избранника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 xml:space="preserve">Сама общественная реакция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 xml:space="preserve">открытое письмо </w:t>
      </w:r>
      <w:r>
        <w:rPr>
          <w:rtl w:val="0"/>
          <w:lang w:val="en-US"/>
        </w:rPr>
        <w:t xml:space="preserve">Armenian Global Community </w:t>
      </w:r>
      <w:r>
        <w:rPr>
          <w:rtl w:val="0"/>
          <w:lang w:val="en-US"/>
        </w:rPr>
        <w:t>и др</w:t>
      </w:r>
      <w:r>
        <w:rPr>
          <w:rtl w:val="0"/>
          <w:lang w:val="en-US"/>
        </w:rPr>
        <w:t xml:space="preserve">.) </w:t>
      </w:r>
      <w:r>
        <w:rPr>
          <w:rtl w:val="0"/>
          <w:lang w:val="en-US"/>
        </w:rPr>
        <w:t>указала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что если подобное останется без последствий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то это означало бы молчаливое одобрение подобных высказываний властью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Этические нормы требуют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чтобы в случае проступка должностное лицо хотя бы принесло публичные извинения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 xml:space="preserve">В требованиях общественности содержится призыв к Ани Хачатрян </w:t>
      </w:r>
      <w:r>
        <w:rPr>
          <w:rFonts w:ascii="Cambria Bold" w:hAnsi="Cambria Bold" w:hint="default"/>
          <w:rtl w:val="0"/>
          <w:lang w:val="en-US"/>
        </w:rPr>
        <w:t>извиниться перед оскорбленными гражданами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что соответствовало бы этикету и этике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По состоянию на настоящее время информации об извинениях нет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и это еще больше фиксирует нарушение этических норм</w:t>
      </w:r>
      <w:r>
        <w:rPr>
          <w:rtl w:val="0"/>
          <w:lang w:val="en-US"/>
        </w:rPr>
        <w:t>.</w:t>
      </w:r>
    </w:p>
    <w:p>
      <w:pPr>
        <w:pStyle w:val="Body Text"/>
      </w:pPr>
      <w:r>
        <w:rPr>
          <w:rtl w:val="0"/>
          <w:lang w:val="en-US"/>
        </w:rPr>
        <w:t xml:space="preserve">• </w:t>
      </w:r>
      <w:r>
        <w:rPr>
          <w:rFonts w:ascii="Cambria Bold" w:hAnsi="Cambria Bold" w:hint="default"/>
          <w:rtl w:val="0"/>
          <w:lang w:val="en-US"/>
        </w:rPr>
        <w:t>Кодексы этики и комиссии</w:t>
      </w:r>
      <w:r>
        <w:rPr>
          <w:rFonts w:ascii="Cambria Bold" w:hAnsi="Cambria Bold"/>
          <w:rtl w:val="0"/>
          <w:lang w:val="en-US"/>
        </w:rPr>
        <w:t>:</w:t>
      </w:r>
      <w:r>
        <w:rPr>
          <w:rtl w:val="0"/>
          <w:lang w:val="en-US"/>
        </w:rPr>
        <w:t xml:space="preserve"> В Армении действует Комиссия по предотвращению коррупции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КПК</w:t>
      </w:r>
      <w:r>
        <w:rPr>
          <w:rtl w:val="0"/>
          <w:lang w:val="en-US"/>
        </w:rPr>
        <w:t>)</w:t>
      </w:r>
      <w:r>
        <w:rPr>
          <w:rStyle w:val="Footnote Reference"/>
          <w:rFonts w:ascii="Cambria" w:cs="Cambria" w:hAnsi="Cambria" w:eastAsia="Cambria"/>
          <w:b w:val="0"/>
          <w:bCs w:val="0"/>
          <w:i w:val="0"/>
          <w:iCs w:val="0"/>
        </w:rPr>
        <w:footnoteReference w:id="25"/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которая с </w:t>
      </w:r>
      <w:r>
        <w:rPr>
          <w:rtl w:val="0"/>
          <w:lang w:val="en-US"/>
        </w:rPr>
        <w:t xml:space="preserve">2018 </w:t>
      </w:r>
      <w:r>
        <w:rPr>
          <w:rtl w:val="0"/>
          <w:lang w:val="en-US"/>
        </w:rPr>
        <w:t>г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исполняет функции контроля за этическим поведением высокопоставленных лиц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КПК может рассматривать жалобы на нарушение этических правил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хотя прямые санкции ограничены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в основном предупреждение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заключение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которое может повлечь политическую ответственность</w:t>
      </w:r>
      <w:r>
        <w:rPr>
          <w:rtl w:val="0"/>
          <w:lang w:val="en-US"/>
        </w:rPr>
        <w:t xml:space="preserve">). </w:t>
      </w:r>
      <w:r>
        <w:rPr>
          <w:rtl w:val="0"/>
          <w:lang w:val="en-US"/>
        </w:rPr>
        <w:t>В случае Хачатрян вопрос этики возникает еще острее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так как задеты </w:t>
      </w:r>
      <w:r>
        <w:rPr>
          <w:rFonts w:ascii="Cambria Bold" w:hAnsi="Cambria Bold" w:hint="default"/>
          <w:rtl w:val="0"/>
          <w:lang w:val="en-US"/>
        </w:rPr>
        <w:t>межнациональные отношения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С этической точки зрения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её высказывания несовместимы с принципом </w:t>
      </w:r>
      <w:r>
        <w:rPr>
          <w:rFonts w:ascii="Cambria Bold" w:hAnsi="Cambria Bold" w:hint="default"/>
          <w:rtl w:val="0"/>
          <w:lang w:val="en-US"/>
        </w:rPr>
        <w:t>толерантности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который должен быть присущ публичной власти</w:t>
      </w:r>
      <w:r>
        <w:rPr>
          <w:rtl w:val="0"/>
          <w:lang w:val="en-US"/>
        </w:rPr>
        <w:t>.</w:t>
      </w:r>
    </w:p>
    <w:p>
      <w:pPr>
        <w:pStyle w:val="Body Text"/>
      </w:pPr>
      <w:r>
        <w:rPr>
          <w:rtl w:val="0"/>
          <w:lang w:val="en-US"/>
        </w:rPr>
        <w:t xml:space="preserve">• </w:t>
      </w:r>
      <w:r>
        <w:rPr>
          <w:rFonts w:ascii="Cambria Bold" w:hAnsi="Cambria Bold" w:hint="default"/>
          <w:rtl w:val="0"/>
          <w:lang w:val="en-US"/>
        </w:rPr>
        <w:t>Репутация государства</w:t>
      </w:r>
      <w:r>
        <w:rPr>
          <w:rFonts w:ascii="Cambria Bold" w:hAnsi="Cambria Bold"/>
          <w:rtl w:val="0"/>
          <w:lang w:val="en-US"/>
        </w:rPr>
        <w:t>:</w:t>
      </w:r>
      <w:r>
        <w:rPr>
          <w:rtl w:val="0"/>
          <w:lang w:val="en-US"/>
        </w:rPr>
        <w:t xml:space="preserve"> Когда должностное лицо города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являющегося столицей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допускает ксенофобные заявления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это бросает тень не только на него лично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но и на репутацию органов власти Армении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 xml:space="preserve">Этические нормы публичного поведения требуют учитывать и </w:t>
      </w:r>
      <w:r>
        <w:rPr>
          <w:rFonts w:ascii="Cambria Bold" w:hAnsi="Cambria Bold" w:hint="default"/>
          <w:rtl w:val="0"/>
          <w:lang w:val="en-US"/>
        </w:rPr>
        <w:t>внешний эффект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>заявления Хачатрян против граждан РФ могут осложнить межобщинные отношения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создать образ Армении как нетолерантной среды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Это противоречит государственной политике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так как официально Армения декларирует приверженность дружбе народов и защите прав всех этнических групп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Значит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с точки зрения </w:t>
      </w:r>
      <w:r>
        <w:rPr>
          <w:rFonts w:ascii="Cambria Bold" w:hAnsi="Cambria Bold" w:hint="default"/>
          <w:rtl w:val="0"/>
          <w:lang w:val="en-US"/>
        </w:rPr>
        <w:t>профессиональной этики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Хачатрян нарушила и принцип лояльности государственным интересам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поставив под угрозу имидж страны и города</w:t>
      </w:r>
      <w:r>
        <w:rPr>
          <w:rtl w:val="0"/>
          <w:lang w:val="en-US"/>
        </w:rPr>
        <w:t>.</w:t>
      </w:r>
      <w:bookmarkEnd w:id="0"/>
    </w:p>
    <w:sectPr>
      <w:headerReference w:type="default" r:id="rId4"/>
      <w:footerReference w:type="default" r:id="rId5"/>
      <w:pgSz w:w="12240" w:h="142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Cambria">
    <w:charset w:val="00"/>
    <w:family w:val="roman"/>
    <w:pitch w:val="default"/>
  </w:font>
  <w:font w:name="Cambria Bold">
    <w:charset w:val="00"/>
    <w:family w:val="roman"/>
    <w:pitch w:val="default"/>
  </w:font>
  <w:font w:name="Cambria Italic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m="http://schemas.openxmlformats.org/officeDocument/2006/math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type="continuationNotice" w:id="-2">
    <w:p>
      <w:r>
        <w:t/>
      </w:r>
    </w:p>
  </w:footnote>
  <w:footnote w:id="1">
    <w:p>
      <w:pPr>
        <w:pStyle w:val="Footnote Text"/>
      </w:pPr>
      <w:r>
        <w:rPr>
          <w:rStyle w:val="Footnote Reference"/>
        </w:rPr>
        <w:footnoteRef/>
      </w:r>
      <w:r>
        <w:rPr>
          <w:rFonts w:cs="Arial Unicode MS" w:eastAsia="Arial Unicode MS" w:hint="default"/>
          <w:rtl w:val="0"/>
          <w:lang w:val="en-US"/>
        </w:rPr>
        <w:t xml:space="preserve"> Ани Хачатрян в списке членов Совета Старейшин</w:t>
      </w:r>
      <w:r>
        <w:rPr>
          <w:rFonts w:cs="Arial Unicode MS" w:eastAsia="Arial Unicode MS"/>
          <w:rtl w:val="0"/>
          <w:lang w:val="en-US"/>
        </w:rPr>
        <w:t xml:space="preserve">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"https://www.yerevan.am/hy/alderman-staff/"</w:instrText>
      </w:r>
      <w:r>
        <w:rPr>
          <w:rStyle w:val="Hyperlink.0"/>
        </w:rPr>
        <w:fldChar w:fldCharType="separate" w:fldLock="0"/>
      </w:r>
      <w:r>
        <w:rPr>
          <w:rStyle w:val="Hyperlink.0"/>
          <w:rFonts w:cs="Arial Unicode MS" w:eastAsia="Arial Unicode MS"/>
          <w:rtl w:val="0"/>
        </w:rPr>
        <w:t>https://www.yerevan.am/hy/alderman-staff/</w:t>
      </w:r>
      <w:r>
        <w:rPr/>
        <w:fldChar w:fldCharType="end" w:fldLock="0"/>
      </w:r>
    </w:p>
  </w:footnote>
  <w:footnote w:id="2">
    <w:p>
      <w:pPr>
        <w:pStyle w:val="Footnote Text"/>
      </w:pPr>
      <w:r>
        <w:rPr>
          <w:rStyle w:val="Footnote Reference"/>
        </w:rPr>
        <w:footnoteRef/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"https://www.youtube.com/live/3hmfBkqoC6A?t=460"</w:instrText>
      </w:r>
      <w:r>
        <w:rPr>
          <w:rStyle w:val="Hyperlink.0"/>
        </w:rPr>
        <w:fldChar w:fldCharType="separate" w:fldLock="0"/>
      </w:r>
      <w:r>
        <w:rPr>
          <w:rStyle w:val="Hyperlink.0"/>
          <w:rFonts w:cs="Arial Unicode MS" w:eastAsia="Arial Unicode MS"/>
          <w:rtl w:val="0"/>
        </w:rPr>
        <w:t>https://www.youtube.com/live/3hmfBkqoC6A?t=460</w:t>
      </w:r>
      <w:r>
        <w:rPr/>
        <w:fldChar w:fldCharType="end" w:fldLock="0"/>
      </w:r>
    </w:p>
  </w:footnote>
  <w:footnote w:id="3">
    <w:p>
      <w:pPr>
        <w:pStyle w:val="Footnote Text"/>
      </w:pPr>
      <w:r>
        <w:rPr>
          <w:rStyle w:val="Footnote Reference"/>
        </w:rPr>
        <w:footnoteRef/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"https://www.president.am/hy/constitution-2015/"</w:instrText>
      </w:r>
      <w:r>
        <w:rPr>
          <w:rStyle w:val="Hyperlink.0"/>
        </w:rPr>
        <w:fldChar w:fldCharType="separate" w:fldLock="0"/>
      </w:r>
      <w:r>
        <w:rPr>
          <w:rStyle w:val="Hyperlink.0"/>
          <w:rFonts w:cs="Arial Unicode MS" w:eastAsia="Arial Unicode MS"/>
          <w:rtl w:val="0"/>
        </w:rPr>
        <w:t>https://www.president.am/hy/constitution-2015/</w:t>
      </w:r>
      <w:r>
        <w:rPr/>
        <w:fldChar w:fldCharType="end" w:fldLock="0"/>
      </w:r>
    </w:p>
  </w:footnote>
  <w:footnote w:id="4">
    <w:p>
      <w:pPr>
        <w:pStyle w:val="Footnote Text"/>
      </w:pPr>
      <w:r>
        <w:rPr>
          <w:rStyle w:val="Footnote Reference"/>
        </w:rPr>
        <w:footnoteRef/>
      </w:r>
      <w:r>
        <w:rPr>
          <w:rFonts w:cs="Arial Unicode MS" w:eastAsia="Arial Unicode MS" w:hint="default"/>
          <w:rtl w:val="0"/>
          <w:lang w:val="en-US"/>
        </w:rPr>
        <w:t xml:space="preserve"> Там же</w:t>
      </w:r>
    </w:p>
  </w:footnote>
  <w:footnote w:id="5">
    <w:p>
      <w:pPr>
        <w:pStyle w:val="Footnote Text"/>
      </w:pPr>
      <w:r>
        <w:rPr>
          <w:rStyle w:val="Footnote Reference"/>
        </w:rPr>
        <w:footnoteRef/>
      </w:r>
      <w:r>
        <w:rPr>
          <w:rFonts w:cs="Arial Unicode MS" w:eastAsia="Arial Unicode MS" w:hint="default"/>
          <w:rtl w:val="0"/>
          <w:lang w:val="en-US"/>
        </w:rPr>
        <w:t xml:space="preserve"> Прежняя версия УК РА</w:t>
      </w:r>
      <w:r>
        <w:rPr>
          <w:rFonts w:cs="Arial Unicode MS" w:eastAsia="Arial Unicode MS"/>
          <w:rtl w:val="0"/>
          <w:lang w:val="en-US"/>
        </w:rPr>
        <w:t xml:space="preserve">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"http://www.parliament.am/legislation.php?ID=1349&amp;lang=arm&amp;enc=utf8&amp;sel=show"</w:instrText>
      </w:r>
      <w:r>
        <w:rPr>
          <w:rStyle w:val="Hyperlink.0"/>
        </w:rPr>
        <w:fldChar w:fldCharType="separate" w:fldLock="0"/>
      </w:r>
      <w:r>
        <w:rPr>
          <w:rStyle w:val="Hyperlink.0"/>
          <w:rFonts w:cs="Arial Unicode MS" w:eastAsia="Arial Unicode MS"/>
          <w:rtl w:val="0"/>
        </w:rPr>
        <w:t>http://www.parliament.am/legislation.php?ID=1349&amp;lang=arm&amp;enc=utf8&amp;sel=show</w:t>
      </w:r>
      <w:r>
        <w:rPr/>
        <w:fldChar w:fldCharType="end" w:fldLock="0"/>
      </w:r>
    </w:p>
  </w:footnote>
  <w:footnote w:id="6">
    <w:p>
      <w:pPr>
        <w:pStyle w:val="Footnote Text"/>
      </w:pPr>
      <w:r>
        <w:rPr>
          <w:rStyle w:val="Footnote Reference"/>
        </w:rPr>
        <w:footnoteRef/>
      </w:r>
      <w:r>
        <w:rPr>
          <w:rFonts w:cs="Arial Unicode MS" w:eastAsia="Arial Unicode MS" w:hint="default"/>
          <w:rtl w:val="0"/>
          <w:lang w:val="en-US"/>
        </w:rPr>
        <w:t xml:space="preserve"> УК РА от </w:t>
      </w:r>
      <w:r>
        <w:rPr>
          <w:rFonts w:cs="Arial Unicode MS" w:eastAsia="Arial Unicode MS"/>
          <w:rtl w:val="0"/>
          <w:lang w:val="en-US"/>
        </w:rPr>
        <w:t xml:space="preserve">2022 </w:t>
      </w:r>
      <w:r>
        <w:rPr>
          <w:rFonts w:cs="Arial Unicode MS" w:eastAsia="Arial Unicode MS" w:hint="default"/>
          <w:rtl w:val="0"/>
          <w:lang w:val="en-US"/>
        </w:rPr>
        <w:t xml:space="preserve">года </w:t>
      </w:r>
      <w:r>
        <w:rPr>
          <w:rFonts w:cs="Arial Unicode MS" w:eastAsia="Arial Unicode MS"/>
          <w:rtl w:val="0"/>
          <w:lang w:val="en-US"/>
        </w:rPr>
        <w:t>(</w:t>
      </w:r>
      <w:r>
        <w:rPr>
          <w:rFonts w:cs="Arial Unicode MS" w:eastAsia="Arial Unicode MS" w:hint="default"/>
          <w:rtl w:val="0"/>
          <w:lang w:val="en-US"/>
        </w:rPr>
        <w:t>актуальный</w:t>
      </w:r>
      <w:r>
        <w:rPr>
          <w:rFonts w:cs="Arial Unicode MS" w:eastAsia="Arial Unicode MS"/>
          <w:rtl w:val="0"/>
          <w:lang w:val="en-US"/>
        </w:rPr>
        <w:t xml:space="preserve">):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"https://www.arlis.am/DocumentView.aspx?DocID=165138"</w:instrText>
      </w:r>
      <w:r>
        <w:rPr>
          <w:rStyle w:val="Hyperlink.0"/>
        </w:rPr>
        <w:fldChar w:fldCharType="separate" w:fldLock="0"/>
      </w:r>
      <w:r>
        <w:rPr>
          <w:rStyle w:val="Hyperlink.0"/>
          <w:rFonts w:cs="Arial Unicode MS" w:eastAsia="Arial Unicode MS"/>
          <w:rtl w:val="0"/>
        </w:rPr>
        <w:t>https://www.arlis.am/DocumentView.aspx?DocID=165138</w:t>
      </w:r>
      <w:r>
        <w:rPr/>
        <w:fldChar w:fldCharType="end" w:fldLock="0"/>
      </w:r>
    </w:p>
  </w:footnote>
  <w:footnote w:id="7">
    <w:p>
      <w:pPr>
        <w:pStyle w:val="Footnote Text"/>
      </w:pPr>
      <w:r>
        <w:rPr>
          <w:rStyle w:val="Footnote Reference"/>
        </w:rPr>
        <w:footnoteRef/>
      </w:r>
      <w:r>
        <w:rPr>
          <w:rFonts w:cs="Arial Unicode MS" w:eastAsia="Arial Unicode MS" w:hint="default"/>
          <w:rtl w:val="0"/>
          <w:lang w:val="en-US"/>
        </w:rPr>
        <w:t xml:space="preserve"> УК РА от </w:t>
      </w:r>
      <w:r>
        <w:rPr>
          <w:rFonts w:cs="Arial Unicode MS" w:eastAsia="Arial Unicode MS"/>
          <w:rtl w:val="0"/>
          <w:lang w:val="en-US"/>
        </w:rPr>
        <w:t xml:space="preserve">2022 </w:t>
      </w:r>
      <w:r>
        <w:rPr>
          <w:rFonts w:cs="Arial Unicode MS" w:eastAsia="Arial Unicode MS" w:hint="default"/>
          <w:rtl w:val="0"/>
          <w:lang w:val="en-US"/>
        </w:rPr>
        <w:t xml:space="preserve">года </w:t>
      </w:r>
      <w:r>
        <w:rPr>
          <w:rFonts w:cs="Arial Unicode MS" w:eastAsia="Arial Unicode MS"/>
          <w:rtl w:val="0"/>
          <w:lang w:val="en-US"/>
        </w:rPr>
        <w:t>(</w:t>
      </w:r>
      <w:r>
        <w:rPr>
          <w:rFonts w:cs="Arial Unicode MS" w:eastAsia="Arial Unicode MS" w:hint="default"/>
          <w:rtl w:val="0"/>
          <w:lang w:val="en-US"/>
        </w:rPr>
        <w:t>актуальный</w:t>
      </w:r>
      <w:r>
        <w:rPr>
          <w:rFonts w:cs="Arial Unicode MS" w:eastAsia="Arial Unicode MS"/>
          <w:rtl w:val="0"/>
          <w:lang w:val="en-US"/>
        </w:rPr>
        <w:t xml:space="preserve">):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"https://www.arlis.am/DocumentView.aspx?DocID=165138"</w:instrText>
      </w:r>
      <w:r>
        <w:rPr>
          <w:rStyle w:val="Hyperlink.0"/>
        </w:rPr>
        <w:fldChar w:fldCharType="separate" w:fldLock="0"/>
      </w:r>
      <w:r>
        <w:rPr>
          <w:rStyle w:val="Hyperlink.0"/>
          <w:rFonts w:cs="Arial Unicode MS" w:eastAsia="Arial Unicode MS"/>
          <w:rtl w:val="0"/>
        </w:rPr>
        <w:t>https://www.arlis.am/DocumentView.aspx?DocID=165138</w:t>
      </w:r>
      <w:r>
        <w:rPr/>
        <w:fldChar w:fldCharType="end" w:fldLock="0"/>
      </w:r>
    </w:p>
  </w:footnote>
  <w:footnote w:id="8">
    <w:p>
      <w:pPr>
        <w:pStyle w:val="Footnote Text"/>
      </w:pPr>
      <w:r>
        <w:rPr>
          <w:rStyle w:val="Footnote Reference"/>
        </w:rPr>
        <w:footnoteRef/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"http://www.parliament.am/legislation.php?sel=show&amp;ID=6272&amp;lang=arm&amp;enc=utf8"</w:instrText>
      </w:r>
      <w:r>
        <w:rPr>
          <w:rStyle w:val="Hyperlink.0"/>
        </w:rPr>
        <w:fldChar w:fldCharType="separate" w:fldLock="0"/>
      </w:r>
      <w:r>
        <w:rPr>
          <w:rStyle w:val="Hyperlink.0"/>
          <w:rFonts w:cs="Arial Unicode MS" w:eastAsia="Arial Unicode MS"/>
          <w:rtl w:val="0"/>
        </w:rPr>
        <w:t>http://www.parliament.am/legislation.php?sel=show&amp;ID=6272&amp;lang=arm&amp;enc=utf8</w:t>
      </w:r>
      <w:r>
        <w:rPr/>
        <w:fldChar w:fldCharType="end" w:fldLock="0"/>
      </w:r>
    </w:p>
  </w:footnote>
  <w:footnote w:id="9">
    <w:p>
      <w:pPr>
        <w:pStyle w:val="Footnote Text"/>
      </w:pPr>
      <w:r>
        <w:rPr>
          <w:rStyle w:val="Footnote Reference"/>
        </w:rPr>
        <w:footnoteRef/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"https://www.president.am/hy/constitution-2015/"</w:instrText>
      </w:r>
      <w:r>
        <w:rPr>
          <w:rStyle w:val="Hyperlink.0"/>
        </w:rPr>
        <w:fldChar w:fldCharType="separate" w:fldLock="0"/>
      </w:r>
      <w:r>
        <w:rPr>
          <w:rStyle w:val="Hyperlink.0"/>
          <w:rFonts w:cs="Arial Unicode MS" w:eastAsia="Arial Unicode MS"/>
          <w:rtl w:val="0"/>
        </w:rPr>
        <w:t>https://www.president.am/hy/constitution-2015/</w:t>
      </w:r>
      <w:r>
        <w:rPr/>
        <w:fldChar w:fldCharType="end" w:fldLock="0"/>
      </w:r>
    </w:p>
  </w:footnote>
  <w:footnote w:id="10">
    <w:p>
      <w:pPr>
        <w:pStyle w:val="Footnote Text"/>
      </w:pPr>
      <w:r>
        <w:rPr>
          <w:rStyle w:val="Footnote Reference"/>
        </w:rPr>
        <w:footnoteRef/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"http://www.parliament.am/legislation.php?sel=show&amp;ID=4123&amp;lang=arm&amp;enc=utf8"</w:instrText>
      </w:r>
      <w:r>
        <w:rPr>
          <w:rStyle w:val="Hyperlink.0"/>
        </w:rPr>
        <w:fldChar w:fldCharType="separate" w:fldLock="0"/>
      </w:r>
      <w:r>
        <w:rPr>
          <w:rStyle w:val="Hyperlink.0"/>
          <w:rFonts w:cs="Arial Unicode MS" w:eastAsia="Arial Unicode MS"/>
          <w:rtl w:val="0"/>
        </w:rPr>
        <w:t>http://www.parliament.am/legislation.php?sel=show&amp;ID=4123&amp;lang=arm&amp;enc=utf8</w:t>
      </w:r>
      <w:r>
        <w:rPr/>
        <w:fldChar w:fldCharType="end" w:fldLock="0"/>
      </w:r>
    </w:p>
  </w:footnote>
  <w:footnote w:id="11">
    <w:p>
      <w:pPr>
        <w:pStyle w:val="Footnote Text"/>
      </w:pPr>
      <w:r>
        <w:rPr>
          <w:rStyle w:val="Footnote Reference"/>
        </w:rPr>
        <w:footnoteRef/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"https://www.arlis.am/documentview.aspx?docid=105967"</w:instrText>
      </w:r>
      <w:r>
        <w:rPr>
          <w:rStyle w:val="Hyperlink.0"/>
        </w:rPr>
        <w:fldChar w:fldCharType="separate" w:fldLock="0"/>
      </w:r>
      <w:r>
        <w:rPr>
          <w:rStyle w:val="Hyperlink.0"/>
          <w:rFonts w:cs="Arial Unicode MS" w:eastAsia="Arial Unicode MS"/>
          <w:rtl w:val="0"/>
        </w:rPr>
        <w:t>https://www.arlis.am/documentview.aspx?docid=105967</w:t>
      </w:r>
      <w:r>
        <w:rPr/>
        <w:fldChar w:fldCharType="end" w:fldLock="0"/>
      </w:r>
    </w:p>
  </w:footnote>
  <w:footnote w:id="12">
    <w:p>
      <w:pPr>
        <w:pStyle w:val="Footnote Text"/>
      </w:pPr>
      <w:r>
        <w:rPr>
          <w:rStyle w:val="Footnote Reference"/>
        </w:rPr>
        <w:footnoteRef/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"https://abcmedia.am/norutyunner/13046/"</w:instrText>
      </w:r>
      <w:r>
        <w:rPr>
          <w:rStyle w:val="Hyperlink.0"/>
        </w:rPr>
        <w:fldChar w:fldCharType="separate" w:fldLock="0"/>
      </w:r>
      <w:r>
        <w:rPr>
          <w:rStyle w:val="Hyperlink.0"/>
          <w:rFonts w:cs="Arial Unicode MS" w:eastAsia="Arial Unicode MS"/>
          <w:rtl w:val="0"/>
        </w:rPr>
        <w:t>https://abcmedia.am/norutyunner/13046/</w:t>
      </w:r>
      <w:r>
        <w:rPr/>
        <w:fldChar w:fldCharType="end" w:fldLock="0"/>
      </w:r>
    </w:p>
  </w:footnote>
  <w:footnote w:id="13">
    <w:p>
      <w:pPr>
        <w:pStyle w:val="Footnote Text"/>
      </w:pPr>
      <w:r>
        <w:rPr>
          <w:rStyle w:val="Footnote Reference"/>
        </w:rPr>
        <w:footnoteRef/>
      </w:r>
      <w:r>
        <w:rPr>
          <w:rFonts w:cs="Arial Unicode MS" w:eastAsia="Arial Unicode MS" w:hint="default"/>
          <w:rtl w:val="0"/>
          <w:lang w:val="en-US"/>
        </w:rPr>
        <w:t xml:space="preserve"> Там же</w:t>
      </w:r>
    </w:p>
  </w:footnote>
  <w:footnote w:id="14">
    <w:p>
      <w:pPr>
        <w:pStyle w:val="Footnote Text"/>
      </w:pPr>
      <w:r>
        <w:rPr>
          <w:rStyle w:val="Footnote Reference"/>
        </w:rPr>
        <w:footnoteRef/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"https://globalfreedomofexpression.columbia.edu/cases/erbakan-v-turkey/"</w:instrText>
      </w:r>
      <w:r>
        <w:rPr>
          <w:rStyle w:val="Hyperlink.0"/>
        </w:rPr>
        <w:fldChar w:fldCharType="separate" w:fldLock="0"/>
      </w:r>
      <w:r>
        <w:rPr>
          <w:rStyle w:val="Hyperlink.0"/>
          <w:rFonts w:cs="Arial Unicode MS" w:eastAsia="Arial Unicode MS"/>
          <w:rtl w:val="0"/>
        </w:rPr>
        <w:t>https://globalfreedomofexpression.columbia.edu/cases/erbakan-v-turkey/</w:t>
      </w:r>
      <w:r>
        <w:rPr/>
        <w:fldChar w:fldCharType="end" w:fldLock="0"/>
      </w:r>
    </w:p>
  </w:footnote>
  <w:footnote w:id="15">
    <w:p>
      <w:pPr>
        <w:pStyle w:val="Footnote Text"/>
      </w:pPr>
      <w:r>
        <w:rPr>
          <w:rStyle w:val="Footnote Reference"/>
        </w:rPr>
        <w:footnoteRef/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"https://globalfreedomofexpression.columbia.edu/cases/glimmerveen-and-hagenbeek-v-the-netherlands/"</w:instrText>
      </w:r>
      <w:r>
        <w:rPr>
          <w:rStyle w:val="Hyperlink.0"/>
        </w:rPr>
        <w:fldChar w:fldCharType="separate" w:fldLock="0"/>
      </w:r>
      <w:r>
        <w:rPr>
          <w:rStyle w:val="Hyperlink.0"/>
          <w:rFonts w:cs="Arial Unicode MS" w:eastAsia="Arial Unicode MS"/>
          <w:rtl w:val="0"/>
        </w:rPr>
        <w:t>https://globalfreedomofexpression.columbia.edu/cases/glimmerveen-and-hagenbeek-v-the-netherlands/</w:t>
      </w:r>
      <w:r>
        <w:rPr/>
        <w:fldChar w:fldCharType="end" w:fldLock="0"/>
      </w:r>
    </w:p>
  </w:footnote>
  <w:footnote w:id="16">
    <w:p>
      <w:pPr>
        <w:pStyle w:val="Footnote Text"/>
      </w:pPr>
      <w:r>
        <w:rPr>
          <w:rStyle w:val="Footnote Reference"/>
        </w:rPr>
        <w:footnoteRef/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"https://www.coe.int/en/web/european-commission-against-racism-and-intolerance"</w:instrText>
      </w:r>
      <w:r>
        <w:rPr>
          <w:rStyle w:val="Hyperlink.0"/>
        </w:rPr>
        <w:fldChar w:fldCharType="separate" w:fldLock="0"/>
      </w:r>
      <w:r>
        <w:rPr>
          <w:rStyle w:val="Hyperlink.0"/>
          <w:rFonts w:cs="Arial Unicode MS" w:eastAsia="Arial Unicode MS"/>
          <w:rtl w:val="0"/>
        </w:rPr>
        <w:t>https://www.coe.int/en/web/european-commission-against-racism-and-intolerance</w:t>
      </w:r>
      <w:r>
        <w:rPr/>
        <w:fldChar w:fldCharType="end" w:fldLock="0"/>
      </w:r>
    </w:p>
  </w:footnote>
  <w:footnote w:id="17">
    <w:p>
      <w:pPr>
        <w:pStyle w:val="Footnote Text"/>
      </w:pPr>
      <w:r>
        <w:rPr>
          <w:rStyle w:val="Footnote Reference"/>
        </w:rPr>
        <w:footnoteRef/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"https://rm.coe.int/statement-by-the-european-commission-against-racism-and-intolerance-ab/16808c1eef"</w:instrText>
      </w:r>
      <w:r>
        <w:rPr>
          <w:rStyle w:val="Hyperlink.0"/>
        </w:rPr>
        <w:fldChar w:fldCharType="separate" w:fldLock="0"/>
      </w:r>
      <w:r>
        <w:rPr>
          <w:rStyle w:val="Hyperlink.0"/>
          <w:rFonts w:cs="Arial Unicode MS" w:eastAsia="Arial Unicode MS"/>
          <w:rtl w:val="0"/>
        </w:rPr>
        <w:t>https://rm.coe.int/statement-by-the-european-commission-against-racism-and-intolerance-ab/16808c1eef</w:t>
      </w:r>
      <w:r>
        <w:rPr/>
        <w:fldChar w:fldCharType="end" w:fldLock="0"/>
      </w:r>
    </w:p>
  </w:footnote>
  <w:footnote w:id="18">
    <w:p>
      <w:pPr>
        <w:pStyle w:val="Footnote Text"/>
      </w:pPr>
      <w:r>
        <w:rPr>
          <w:rStyle w:val="Footnote Reference"/>
        </w:rPr>
        <w:footnoteRef/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"https://pace.coe.int/en/"</w:instrText>
      </w:r>
      <w:r>
        <w:rPr>
          <w:rStyle w:val="Hyperlink.0"/>
        </w:rPr>
        <w:fldChar w:fldCharType="separate" w:fldLock="0"/>
      </w:r>
      <w:r>
        <w:rPr>
          <w:rStyle w:val="Hyperlink.0"/>
          <w:rFonts w:cs="Arial Unicode MS" w:eastAsia="Arial Unicode MS"/>
          <w:rtl w:val="0"/>
        </w:rPr>
        <w:t>https://pace.coe.int/en/</w:t>
      </w:r>
      <w:r>
        <w:rPr/>
        <w:fldChar w:fldCharType="end" w:fldLock="0"/>
      </w:r>
    </w:p>
  </w:footnote>
  <w:footnote w:id="19">
    <w:p>
      <w:pPr>
        <w:pStyle w:val="Footnote Text"/>
      </w:pPr>
      <w:r>
        <w:rPr>
          <w:rStyle w:val="Footnote Reference"/>
        </w:rPr>
        <w:footnoteRef/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"https://www.osce.org/"</w:instrText>
      </w:r>
      <w:r>
        <w:rPr>
          <w:rStyle w:val="Hyperlink.0"/>
        </w:rPr>
        <w:fldChar w:fldCharType="separate" w:fldLock="0"/>
      </w:r>
      <w:r>
        <w:rPr>
          <w:rStyle w:val="Hyperlink.0"/>
          <w:rFonts w:cs="Arial Unicode MS" w:eastAsia="Arial Unicode MS"/>
          <w:rtl w:val="0"/>
        </w:rPr>
        <w:t>https://www.osce.org/</w:t>
      </w:r>
      <w:r>
        <w:rPr/>
        <w:fldChar w:fldCharType="end" w:fldLock="0"/>
      </w:r>
    </w:p>
  </w:footnote>
  <w:footnote w:id="20">
    <w:p>
      <w:pPr>
        <w:pStyle w:val="Footnote Text"/>
      </w:pPr>
      <w:r>
        <w:rPr>
          <w:rStyle w:val="Footnote Reference"/>
        </w:rPr>
        <w:footnoteRef/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"https://www.osce.org/representative-on-freedom-of-media/501697"</w:instrText>
      </w:r>
      <w:r>
        <w:rPr>
          <w:rStyle w:val="Hyperlink.0"/>
        </w:rPr>
        <w:fldChar w:fldCharType="separate" w:fldLock="0"/>
      </w:r>
      <w:r>
        <w:rPr>
          <w:rStyle w:val="Hyperlink.0"/>
          <w:rFonts w:cs="Arial Unicode MS" w:eastAsia="Arial Unicode MS"/>
          <w:rtl w:val="0"/>
        </w:rPr>
        <w:t>https://www.osce.org/representative-on-freedom-of-media/501697</w:t>
      </w:r>
      <w:r>
        <w:rPr/>
        <w:fldChar w:fldCharType="end" w:fldLock="0"/>
      </w:r>
    </w:p>
  </w:footnote>
  <w:footnote w:id="21">
    <w:p>
      <w:pPr>
        <w:pStyle w:val="Footnote Text"/>
      </w:pPr>
      <w:r>
        <w:rPr>
          <w:rStyle w:val="Footnote Reference"/>
        </w:rPr>
        <w:footnoteRef/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"https://www.osce.org/odihr"</w:instrText>
      </w:r>
      <w:r>
        <w:rPr>
          <w:rStyle w:val="Hyperlink.0"/>
        </w:rPr>
        <w:fldChar w:fldCharType="separate" w:fldLock="0"/>
      </w:r>
      <w:r>
        <w:rPr>
          <w:rStyle w:val="Hyperlink.0"/>
          <w:rFonts w:cs="Arial Unicode MS" w:eastAsia="Arial Unicode MS"/>
          <w:rtl w:val="0"/>
        </w:rPr>
        <w:t>https://www.osce.org/odihr</w:t>
      </w:r>
      <w:r>
        <w:rPr/>
        <w:fldChar w:fldCharType="end" w:fldLock="0"/>
      </w:r>
    </w:p>
  </w:footnote>
  <w:footnote w:id="22">
    <w:p>
      <w:pPr>
        <w:pStyle w:val="Footnote Text"/>
      </w:pPr>
      <w:r>
        <w:rPr>
          <w:rStyle w:val="Footnote Reference"/>
        </w:rPr>
        <w:footnoteRef/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"https://www.ohchr.org/en/instruments-mechanisms/instruments/international-covenant-civil-and-political-rights"</w:instrText>
      </w:r>
      <w:r>
        <w:rPr>
          <w:rStyle w:val="Hyperlink.0"/>
        </w:rPr>
        <w:fldChar w:fldCharType="separate" w:fldLock="0"/>
      </w:r>
      <w:r>
        <w:rPr>
          <w:rStyle w:val="Hyperlink.0"/>
          <w:rFonts w:cs="Arial Unicode MS" w:eastAsia="Arial Unicode MS"/>
          <w:rtl w:val="0"/>
        </w:rPr>
        <w:t>https://www.ohchr.org/en/instruments-mechanisms/instruments/international-covenant-civil-and-political-rights</w:t>
      </w:r>
      <w:r>
        <w:rPr/>
        <w:fldChar w:fldCharType="end" w:fldLock="0"/>
      </w:r>
    </w:p>
  </w:footnote>
  <w:footnote w:id="23">
    <w:p>
      <w:pPr>
        <w:pStyle w:val="Footnote Text"/>
      </w:pPr>
      <w:r>
        <w:rPr>
          <w:rStyle w:val="Footnote Reference"/>
        </w:rPr>
        <w:footnoteRef/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"https://www.ohchr.org/en/instruments-mechanisms/instruments/international-convention-elimination-all-forms-racial"</w:instrText>
      </w:r>
      <w:r>
        <w:rPr>
          <w:rStyle w:val="Hyperlink.0"/>
        </w:rPr>
        <w:fldChar w:fldCharType="separate" w:fldLock="0"/>
      </w:r>
      <w:r>
        <w:rPr>
          <w:rStyle w:val="Hyperlink.0"/>
          <w:rFonts w:cs="Arial Unicode MS" w:eastAsia="Arial Unicode MS"/>
          <w:rtl w:val="0"/>
        </w:rPr>
        <w:t>https://www.ohchr.org/en/instruments-mechanisms/instruments/international-convention-elimination-all-forms-racial</w:t>
      </w:r>
      <w:r>
        <w:rPr/>
        <w:fldChar w:fldCharType="end" w:fldLock="0"/>
      </w:r>
    </w:p>
  </w:footnote>
  <w:footnote w:id="24">
    <w:p>
      <w:pPr>
        <w:pStyle w:val="Footnote Text"/>
      </w:pPr>
      <w:r>
        <w:rPr>
          <w:rStyle w:val="Footnote Reference"/>
        </w:rPr>
        <w:footnoteRef/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"https://www.ohchr.org/en/special-procedures/sr-minority-issues"</w:instrText>
      </w:r>
      <w:r>
        <w:rPr>
          <w:rStyle w:val="Hyperlink.0"/>
        </w:rPr>
        <w:fldChar w:fldCharType="separate" w:fldLock="0"/>
      </w:r>
      <w:r>
        <w:rPr>
          <w:rStyle w:val="Hyperlink.0"/>
          <w:rFonts w:cs="Arial Unicode MS" w:eastAsia="Arial Unicode MS"/>
          <w:rtl w:val="0"/>
        </w:rPr>
        <w:t>https://www.ohchr.org/en/special-procedures/sr-minority-issues</w:t>
      </w:r>
      <w:r>
        <w:rPr/>
        <w:fldChar w:fldCharType="end" w:fldLock="0"/>
      </w:r>
    </w:p>
  </w:footnote>
  <w:footnote w:id="25">
    <w:p>
      <w:pPr>
        <w:pStyle w:val="Footnote Text"/>
      </w:pPr>
      <w:r>
        <w:rPr>
          <w:rStyle w:val="Footnote Reference"/>
        </w:rPr>
        <w:footnoteRef/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"http://www.parliament.am/legislation.php?sel=show&amp;ID=5831&amp;lang=arm&amp;enc=utf8"</w:instrText>
      </w:r>
      <w:r>
        <w:rPr>
          <w:rStyle w:val="Hyperlink.0"/>
        </w:rPr>
        <w:fldChar w:fldCharType="separate" w:fldLock="0"/>
      </w:r>
      <w:r>
        <w:rPr>
          <w:rStyle w:val="Hyperlink.0"/>
          <w:rFonts w:cs="Arial Unicode MS" w:eastAsia="Arial Unicode MS"/>
          <w:rtl w:val="0"/>
        </w:rPr>
        <w:t>http://www.parliament.am/legislation.php?sel=show&amp;ID=5831&amp;lang=arm&amp;enc=utf8</w:t>
      </w:r>
      <w:r>
        <w:rPr/>
        <w:fldChar w:fldCharType="end" w:fldLock="0"/>
      </w:r>
    </w:p>
  </w:footnote>
</w:footnotes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footnotePr>
    <w:numFmt w:val="decimal"/>
    <w:numStart w:val="1"/>
    <w:numRestart w:val="continuous"/>
    <w:footnote w:id="-1"/>
    <w:footnote w:id="0"/>
    <w:footnote w:id="-2"/>
  </w:footnotePr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">
    <w:name w:val="Heading"/>
    <w:next w:val="Body Text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480" w:after="0" w:line="240" w:lineRule="auto"/>
      <w:ind w:left="0" w:right="0" w:firstLine="0"/>
      <w:jc w:val="left"/>
      <w:outlineLvl w:val="0"/>
    </w:pPr>
    <w:rPr>
      <w:rFonts w:ascii="Calibri" w:cs="Arial Unicode MS" w:hAnsi="Calibri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4f81bd"/>
      <w:spacing w:val="0"/>
      <w:kern w:val="0"/>
      <w:position w:val="0"/>
      <w:sz w:val="32"/>
      <w:szCs w:val="32"/>
      <w:u w:val="none" w:color="4f81bd"/>
      <w:shd w:val="nil" w:color="auto" w:fill="auto"/>
      <w:vertAlign w:val="baseline"/>
      <w14:textOutline>
        <w14:noFill/>
      </w14:textOutline>
      <w14:textFill>
        <w14:solidFill>
          <w14:srgbClr w14:val="4F81BD"/>
        </w14:solidFill>
      </w14:textFill>
    </w:rPr>
  </w:style>
  <w:style w:type="paragraph" w:styleId="Body Text">
    <w:name w:val="Body Text"/>
    <w:next w:val="Body 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80" w:after="180" w:line="240" w:lineRule="auto"/>
      <w:ind w:left="0" w:right="0" w:firstLine="0"/>
      <w:jc w:val="left"/>
      <w:outlineLvl w:val="9"/>
    </w:pPr>
    <w:rPr>
      <w:rFonts w:ascii="Cambria" w:cs="Arial Unicode MS" w:hAnsi="Cambri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First Paragraph">
    <w:name w:val="First Paragraph"/>
    <w:next w:val="Body 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80" w:after="180" w:line="240" w:lineRule="auto"/>
      <w:ind w:left="0" w:right="0" w:firstLine="0"/>
      <w:jc w:val="left"/>
      <w:outlineLvl w:val="9"/>
    </w:pPr>
    <w:rPr>
      <w:rFonts w:ascii="Cambria" w:cs="Arial Unicode MS" w:hAnsi="Cambria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character" w:styleId="Footnote Reference">
    <w:name w:val="Footnote Reference"/>
    <w:rPr>
      <w:vertAlign w:val="superscript"/>
    </w:rPr>
  </w:style>
  <w:style w:type="paragraph" w:styleId="Footnote Text">
    <w:name w:val="Footnote Text"/>
    <w:next w:val="Footnote 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40" w:lineRule="auto"/>
      <w:ind w:left="0" w:right="0" w:firstLine="0"/>
      <w:jc w:val="left"/>
      <w:outlineLvl w:val="9"/>
    </w:pPr>
    <w:rPr>
      <w:rFonts w:ascii="Cambria" w:cs="Cambria" w:hAnsi="Cambria" w:eastAsia="Cambr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outline w:val="0"/>
      <w:color w:val="4f81bd"/>
      <w:u w:val="single" w:color="4f81bd"/>
      <w14:textFill>
        <w14:solidFill>
          <w14:srgbClr w14:val="4F81BD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otnotes" Target="footnotes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