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Heading"/>
      </w:pPr>
      <w:bookmarkStart w:name="X11d3884bef83519ccd8899a11ecefc4b950ce45" w:id="0"/>
      <w:r>
        <w:rPr>
          <w:rtl w:val="0"/>
          <w:lang w:val="en-US"/>
        </w:rPr>
        <w:t>Legal Analysis of Ani Khachatryan</w:t>
      </w:r>
      <w:r>
        <w:rPr>
          <w:rtl w:val="1"/>
        </w:rPr>
        <w:t>’</w:t>
      </w:r>
      <w:r>
        <w:rPr>
          <w:rtl w:val="0"/>
          <w:lang w:val="en-US"/>
        </w:rPr>
        <w:t>s Statements (March 25, 2025)</w:t>
      </w:r>
    </w:p>
    <w:p>
      <w:pPr>
        <w:pStyle w:val="First Paragraph"/>
      </w:pPr>
      <w:r>
        <w:rPr>
          <w:rFonts w:ascii="Cambria Bold" w:hAnsi="Cambria Bold"/>
          <w:rtl w:val="0"/>
          <w:lang w:val="en-US"/>
        </w:rPr>
        <w:t>Context and Essence of the Issue</w:t>
      </w:r>
    </w:p>
    <w:p>
      <w:pPr>
        <w:pStyle w:val="Body Text"/>
      </w:pPr>
      <w:r>
        <w:rPr>
          <w:rtl w:val="0"/>
          <w:lang w:val="en-US"/>
        </w:rPr>
        <w:t>On March 25, 2025, a member of the Yerevan Council of Elders, Ani Khachatryan</w:t>
      </w:r>
      <w:r>
        <w:rPr>
          <w:rStyle w:val="Footnote Reference"/>
          <w:rFonts w:ascii="Cambria" w:cs="Cambria" w:hAnsi="Cambria" w:eastAsia="Cambria"/>
          <w:b w:val="0"/>
          <w:bCs w:val="0"/>
          <w:i w:val="0"/>
          <w:iCs w:val="0"/>
        </w:rPr>
        <w:footnoteReference w:id="1"/>
      </w:r>
      <w:r>
        <w:rPr>
          <w:rtl w:val="0"/>
          <w:lang w:val="en-US"/>
        </w:rPr>
        <w:t>, publicly spoke outside the city hall during a protest</w:t>
      </w:r>
      <w:r>
        <w:rPr>
          <w:rStyle w:val="Footnote Reference"/>
          <w:rFonts w:ascii="Cambria" w:cs="Cambria" w:hAnsi="Cambria" w:eastAsia="Cambria"/>
          <w:b w:val="0"/>
          <w:bCs w:val="0"/>
          <w:i w:val="0"/>
          <w:iCs w:val="0"/>
        </w:rPr>
        <w:footnoteReference w:id="2"/>
      </w:r>
      <w:r>
        <w:rPr>
          <w:rtl w:val="0"/>
          <w:lang w:val="en-US"/>
        </w:rPr>
        <w:t xml:space="preserve"> and made xenophobic, derogatory statements directed at citizens of the Russian Federation, referring to the protest participants as </w:t>
      </w:r>
      <w:r>
        <w:rPr>
          <w:rtl w:val="0"/>
          <w:lang w:val="en-US"/>
        </w:rPr>
        <w:t>“</w:t>
      </w:r>
      <w:r>
        <w:rPr>
          <w:rFonts w:ascii="Cambria Bold" w:hAnsi="Cambria Bold"/>
          <w:rtl w:val="0"/>
          <w:lang w:val="en-US"/>
        </w:rPr>
        <w:t>rotten Russians</w:t>
      </w:r>
      <w:r>
        <w:rPr>
          <w:rtl w:val="0"/>
          <w:lang w:val="en-US"/>
        </w:rPr>
        <w:t>.</w:t>
      </w:r>
      <w:r>
        <w:rPr>
          <w:rtl w:val="0"/>
          <w:lang w:val="en-US"/>
        </w:rPr>
        <w:t xml:space="preserve">” </w:t>
      </w:r>
      <w:r>
        <w:rPr>
          <w:rtl w:val="0"/>
          <w:lang w:val="en-US"/>
        </w:rPr>
        <w:t>These remarks, made by a public official, sparked significant public backlash and condemnation as incitement to ethnic hatred. Such behavior potentially violates several provisions of Armenia</w:t>
      </w:r>
      <w:r>
        <w:rPr>
          <w:rtl w:val="0"/>
          <w:lang w:val="en-US"/>
        </w:rPr>
        <w:t>’</w:t>
      </w:r>
      <w:r>
        <w:rPr>
          <w:rtl w:val="0"/>
          <w:lang w:val="en-US"/>
        </w:rPr>
        <w:t>s national legislation, its international obligations, as well as the ethical standards of public service. Below is a comprehensive legal analysis of the situation, with references to specific laws, precedents, and possible responses.</w:t>
      </w:r>
    </w:p>
    <w:p>
      <w:pPr>
        <w:pStyle w:val="Body"/>
      </w:pPr>
      <w:r>
        <mc:AlternateContent>
          <mc:Choice Requires="wps">
            <w:drawing xmlns:a="http://schemas.openxmlformats.org/drawingml/2006/main">
              <wp:inline distT="0" distB="0" distL="0" distR="0">
                <wp:extent cx="5943600" cy="19050"/>
                <wp:effectExtent l="0" t="0" r="0" b="0"/>
                <wp:docPr id="1073741825" name="officeArt object" descr="Rectangle"/>
                <wp:cNvGraphicFramePr/>
                <a:graphic xmlns:a="http://schemas.openxmlformats.org/drawingml/2006/main">
                  <a:graphicData uri="http://schemas.microsoft.com/office/word/2010/wordprocessingShape">
                    <wps:wsp>
                      <wps:cNvSpPr/>
                      <wps:spPr>
                        <a:xfrm>
                          <a:off x="0" y="0"/>
                          <a:ext cx="5943600" cy="19050"/>
                        </a:xfrm>
                        <a:prstGeom prst="rect">
                          <a:avLst/>
                        </a:prstGeom>
                        <a:solidFill>
                          <a:srgbClr val="FFFFFF"/>
                        </a:solidFill>
                        <a:ln w="9525" cap="flat">
                          <a:solidFill>
                            <a:srgbClr val="000000"/>
                          </a:solidFill>
                          <a:prstDash val="solid"/>
                          <a:round/>
                        </a:ln>
                        <a:effectLst/>
                      </wps:spPr>
                      <wps:bodyPr/>
                    </wps:wsp>
                  </a:graphicData>
                </a:graphic>
              </wp:inline>
            </w:drawing>
          </mc:Choice>
          <mc:Fallback>
            <w:pict>
              <v:rect id="_x0000_s1026" style="visibility:visible;width:468.0pt;height:1.5pt;">
                <v:fill color="#FFFFFF" opacity="100.0%" type="solid"/>
                <v:stroke filltype="solid" color="#000000" opacity="100.0%" weight="0.8pt" dashstyle="solid" endcap="flat" joinstyle="round" linestyle="single" startarrow="none" startarrowwidth="medium" startarrowlength="medium" endarrow="none" endarrowwidth="medium" endarrowlength="medium"/>
              </v:rect>
            </w:pict>
          </mc:Fallback>
        </mc:AlternateContent>
      </w:r>
      <w:bookmarkEnd w:id="0"/>
    </w:p>
    <w:p>
      <w:pPr>
        <w:pStyle w:val="Heading 2"/>
      </w:pPr>
      <w:bookmarkStart w:name="Xd3d866fd663e8dfb2f2042e338e99b5a3b5f38b" w:id="1"/>
      <w:r>
        <w:rPr>
          <w:rFonts w:cs="Arial Unicode MS" w:eastAsia="Arial Unicode MS"/>
          <w:rtl w:val="0"/>
          <w:lang w:val="en-US"/>
        </w:rPr>
        <w:t>1. Violations of the Legislation of the Republic of Armenia</w:t>
      </w:r>
      <w:bookmarkEnd w:id="1"/>
    </w:p>
    <w:p>
      <w:pPr>
        <w:pStyle w:val="Heading 3"/>
      </w:pPr>
      <w:bookmarkStart w:name="X2c978f818fe6ceadc1a544f26249d8293b579a0" w:id="2"/>
      <w:r>
        <w:rPr>
          <w:rFonts w:cs="Arial Unicode MS" w:eastAsia="Arial Unicode MS"/>
          <w:rtl w:val="0"/>
          <w:lang w:val="en-US"/>
        </w:rPr>
        <w:t>1.1 The Constitution of the RA and Anti-Discrimination Provisions</w:t>
      </w:r>
    </w:p>
    <w:p>
      <w:pPr>
        <w:pStyle w:val="First Paragraph"/>
      </w:pPr>
      <w:r>
        <w:rPr>
          <w:rFonts w:ascii="Cambria Bold" w:hAnsi="Cambria Bold"/>
          <w:rtl w:val="0"/>
          <w:lang w:val="en-US"/>
        </w:rPr>
        <w:t>Principle of Equality:</w:t>
      </w:r>
      <w:r>
        <w:rPr>
          <w:rtl w:val="0"/>
          <w:lang w:val="en-US"/>
        </w:rPr>
        <w:t xml:space="preserve"> The Constitution of the Republic of Armenia guarantees equal rights and prohibits discrimination. Specifically, </w:t>
      </w:r>
      <w:r>
        <w:rPr>
          <w:rFonts w:ascii="Cambria Bold" w:hAnsi="Cambria Bold"/>
          <w:rtl w:val="0"/>
          <w:lang w:val="en-US"/>
        </w:rPr>
        <w:t>Article 29 of the RA Constitution</w:t>
      </w:r>
      <w:r>
        <w:rPr>
          <w:rStyle w:val="Footnote Reference"/>
          <w:rFonts w:ascii="Cambria" w:cs="Cambria" w:hAnsi="Cambria" w:eastAsia="Cambria"/>
          <w:b w:val="0"/>
          <w:bCs w:val="0"/>
          <w:i w:val="0"/>
          <w:iCs w:val="0"/>
        </w:rPr>
        <w:footnoteReference w:id="3"/>
      </w:r>
      <w:r>
        <w:rPr>
          <w:rtl w:val="0"/>
          <w:lang w:val="en-US"/>
        </w:rPr>
        <w:t xml:space="preserve"> forbids discrimination based on race, skin color, ethnic or social origin, language, religion, political or other opinions, membership in a national minority, and other personal or social factors. Khachatryan</w:t>
      </w:r>
      <w:r>
        <w:rPr>
          <w:rtl w:val="0"/>
          <w:lang w:val="en-US"/>
        </w:rPr>
        <w:t>’</w:t>
      </w:r>
      <w:r>
        <w:rPr>
          <w:rtl w:val="0"/>
          <w:lang w:val="en-US"/>
        </w:rPr>
        <w:t>s statement, which included a national slur (</w:t>
      </w:r>
      <w:r>
        <w:rPr>
          <w:rtl w:val="0"/>
          <w:lang w:val="en-US"/>
        </w:rPr>
        <w:t>“</w:t>
      </w:r>
      <w:r>
        <w:rPr>
          <w:rtl w:val="0"/>
          <w:lang w:val="en-US"/>
        </w:rPr>
        <w:t>rotten Russians</w:t>
      </w:r>
      <w:r>
        <w:rPr>
          <w:rtl w:val="0"/>
          <w:lang w:val="en-US"/>
        </w:rPr>
        <w:t>”</w:t>
      </w:r>
      <w:r>
        <w:rPr>
          <w:rtl w:val="0"/>
          <w:lang w:val="en-US"/>
        </w:rPr>
        <w:t xml:space="preserve">), clearly contradicts this constitutional prohibition. It degrades the dignity of individuals based on their </w:t>
      </w:r>
      <w:r>
        <w:rPr>
          <w:rFonts w:ascii="Cambria Bold" w:hAnsi="Cambria Bold"/>
          <w:rtl w:val="0"/>
          <w:lang w:val="en-US"/>
        </w:rPr>
        <w:t>nationality/citizenship</w:t>
      </w:r>
      <w:r>
        <w:rPr>
          <w:rtl w:val="0"/>
          <w:lang w:val="en-US"/>
        </w:rPr>
        <w:t xml:space="preserve"> and violates the principle of </w:t>
      </w:r>
      <w:r>
        <w:rPr>
          <w:rFonts w:ascii="Cambria Bold" w:hAnsi="Cambria Bold"/>
          <w:rtl w:val="0"/>
          <w:lang w:val="en-US"/>
        </w:rPr>
        <w:t>equality before the law</w:t>
      </w:r>
      <w:r>
        <w:rPr>
          <w:rtl w:val="0"/>
          <w:lang w:val="en-US"/>
        </w:rPr>
        <w:t>. As highlighted in statements by civil society, her words violate the constitutional principle of equality for all citizens regardless of citizenship or ethnic origin.</w:t>
      </w:r>
    </w:p>
    <w:p>
      <w:pPr>
        <w:pStyle w:val="Body Text"/>
      </w:pPr>
      <w:r>
        <w:rPr>
          <w:rFonts w:ascii="Cambria Bold" w:hAnsi="Cambria Bold"/>
          <w:rtl w:val="0"/>
          <w:lang w:val="en-US"/>
        </w:rPr>
        <w:t>Right to Dignity:</w:t>
      </w:r>
      <w:r>
        <w:rPr>
          <w:rtl w:val="0"/>
          <w:lang w:val="en-US"/>
        </w:rPr>
        <w:t xml:space="preserve"> It is worth noting that the Constitution of the Republic of Armenia proclaims human dignity as </w:t>
      </w:r>
      <w:r>
        <w:rPr>
          <w:rFonts w:ascii="Cambria Bold" w:hAnsi="Cambria Bold"/>
          <w:rtl w:val="0"/>
          <w:lang w:val="en-US"/>
        </w:rPr>
        <w:t>inviolable</w:t>
      </w:r>
      <w:r>
        <w:rPr>
          <w:rtl w:val="0"/>
          <w:lang w:val="en-US"/>
        </w:rPr>
        <w:t xml:space="preserve"> (Article 23 of the Constitution of the RA</w:t>
      </w:r>
      <w:r>
        <w:rPr>
          <w:rStyle w:val="Footnote Reference"/>
          <w:rFonts w:ascii="Cambria" w:cs="Cambria" w:hAnsi="Cambria" w:eastAsia="Cambria"/>
          <w:b w:val="0"/>
          <w:bCs w:val="0"/>
          <w:i w:val="0"/>
          <w:iCs w:val="0"/>
        </w:rPr>
        <w:footnoteReference w:id="4"/>
      </w:r>
      <w:r>
        <w:rPr>
          <w:rtl w:val="0"/>
          <w:lang w:val="en-US"/>
        </w:rPr>
        <w:t>). Public insult of a group of people based on their national identity may be regarded as an affront to their dignity and equal rights.</w:t>
      </w:r>
    </w:p>
    <w:p>
      <w:pPr>
        <w:pStyle w:val="Body"/>
      </w:pPr>
      <w:r>
        <mc:AlternateContent>
          <mc:Choice Requires="wps">
            <w:drawing xmlns:a="http://schemas.openxmlformats.org/drawingml/2006/main">
              <wp:inline distT="0" distB="0" distL="0" distR="0">
                <wp:extent cx="5943600" cy="19050"/>
                <wp:effectExtent l="0" t="0" r="0" b="0"/>
                <wp:docPr id="1073741826" name="officeArt object" descr="Rectangle"/>
                <wp:cNvGraphicFramePr/>
                <a:graphic xmlns:a="http://schemas.openxmlformats.org/drawingml/2006/main">
                  <a:graphicData uri="http://schemas.microsoft.com/office/word/2010/wordprocessingShape">
                    <wps:wsp>
                      <wps:cNvSpPr/>
                      <wps:spPr>
                        <a:xfrm>
                          <a:off x="0" y="0"/>
                          <a:ext cx="5943600" cy="19050"/>
                        </a:xfrm>
                        <a:prstGeom prst="rect">
                          <a:avLst/>
                        </a:prstGeom>
                        <a:solidFill>
                          <a:srgbClr val="FFFFFF"/>
                        </a:solidFill>
                        <a:ln w="9525" cap="flat">
                          <a:solidFill>
                            <a:srgbClr val="000000"/>
                          </a:solidFill>
                          <a:prstDash val="solid"/>
                          <a:round/>
                        </a:ln>
                        <a:effectLst/>
                      </wps:spPr>
                      <wps:bodyPr/>
                    </wps:wsp>
                  </a:graphicData>
                </a:graphic>
              </wp:inline>
            </w:drawing>
          </mc:Choice>
          <mc:Fallback>
            <w:pict>
              <v:rect id="_x0000_s1027" style="visibility:visible;width:468.0pt;height:1.5pt;">
                <v:fill color="#FFFFFF" opacity="100.0%" type="solid"/>
                <v:stroke filltype="solid" color="#000000" opacity="100.0%" weight="0.8pt" dashstyle="solid" endcap="flat" joinstyle="round" linestyle="single" startarrow="none" startarrowwidth="medium" startarrowlength="medium" endarrow="none" endarrowwidth="medium" endarrowlength="medium"/>
              </v:rect>
            </w:pict>
          </mc:Fallback>
        </mc:AlternateContent>
      </w:r>
      <w:bookmarkEnd w:id="2"/>
    </w:p>
    <w:p>
      <w:pPr>
        <w:pStyle w:val="Heading 3"/>
      </w:pPr>
      <w:bookmarkStart w:name="X56376e67a6273b70a3278ed1ef8a77d0dcefd7d" w:id="3"/>
      <w:r>
        <w:rPr>
          <w:rFonts w:cs="Arial Unicode MS" w:eastAsia="Arial Unicode MS"/>
          <w:rtl w:val="0"/>
          <w:lang w:val="en-US"/>
        </w:rPr>
        <w:t>1.2 Criminal Code of Armenia (Incitement to Hatred, Discrimination, etc.)</w:t>
      </w:r>
    </w:p>
    <w:p>
      <w:pPr>
        <w:pStyle w:val="First Paragraph"/>
      </w:pPr>
      <w:r>
        <w:rPr>
          <w:rtl w:val="0"/>
          <w:lang w:val="en-US"/>
        </w:rPr>
        <w:t>Ani Khachatryan</w:t>
      </w:r>
      <w:r>
        <w:rPr>
          <w:rtl w:val="0"/>
          <w:lang w:val="en-US"/>
        </w:rPr>
        <w:t>’</w:t>
      </w:r>
      <w:r>
        <w:rPr>
          <w:rtl w:val="0"/>
          <w:lang w:val="en-US"/>
        </w:rPr>
        <w:t>s actions may fall under provisions of the RA Criminal Code that establish liability for inciting national hatred and hostility:</w:t>
      </w:r>
    </w:p>
    <w:p>
      <w:pPr>
        <w:pStyle w:val="Body Text"/>
      </w:pPr>
      <w:r>
        <w:rPr>
          <w:rFonts w:ascii="Cambria Bold" w:hAnsi="Cambria Bold"/>
          <w:rtl w:val="0"/>
          <w:lang w:val="en-US"/>
        </w:rPr>
        <w:t>Incitement to Hatred or Hostility:</w:t>
      </w:r>
      <w:r>
        <w:rPr>
          <w:rtl w:val="0"/>
          <w:lang w:val="en-US"/>
        </w:rPr>
        <w:t xml:space="preserve"> The new Criminal Code of Armenia (as amended in 2022) includes a provision similar to the former Article 226</w:t>
      </w:r>
      <w:r>
        <w:rPr>
          <w:rStyle w:val="Footnote Reference"/>
          <w:rFonts w:ascii="Cambria" w:cs="Cambria" w:hAnsi="Cambria" w:eastAsia="Cambria"/>
          <w:b w:val="0"/>
          <w:bCs w:val="0"/>
          <w:i w:val="0"/>
          <w:iCs w:val="0"/>
        </w:rPr>
        <w:footnoteReference w:id="5"/>
      </w:r>
      <w:r>
        <w:rPr>
          <w:rtl w:val="0"/>
          <w:lang w:val="en-US"/>
        </w:rPr>
        <w:t xml:space="preserve">, which establishes penalties for public actions aimed at inciting hatred, hostility, or degrading the dignity of an individual or group based on nationality, ethnicity, etc. Specifically, </w:t>
      </w:r>
      <w:r>
        <w:rPr>
          <w:rFonts w:ascii="Cambria Bold" w:hAnsi="Cambria Bold"/>
          <w:rtl w:val="0"/>
          <w:lang w:val="en-US"/>
        </w:rPr>
        <w:t>Article 329 of the RA Criminal Code</w:t>
      </w:r>
      <w:r>
        <w:rPr>
          <w:rStyle w:val="Footnote Reference"/>
          <w:rFonts w:ascii="Cambria" w:cs="Cambria" w:hAnsi="Cambria" w:eastAsia="Cambria"/>
          <w:b w:val="0"/>
          <w:bCs w:val="0"/>
          <w:i w:val="0"/>
          <w:iCs w:val="0"/>
        </w:rPr>
        <w:footnoteReference w:id="6"/>
      </w:r>
      <w:r>
        <w:rPr>
          <w:rtl w:val="0"/>
          <w:lang w:val="en-US"/>
        </w:rPr>
        <w:t xml:space="preserve"> provides </w:t>
      </w:r>
      <w:r>
        <w:rPr>
          <w:rFonts w:ascii="Cambria Bold" w:hAnsi="Cambria Bold"/>
          <w:rtl w:val="0"/>
          <w:lang w:val="en-US"/>
        </w:rPr>
        <w:t>criminal liability for public statements that incite hatred, discrimination, intolerance, or hostility</w:t>
      </w:r>
      <w:r>
        <w:rPr>
          <w:rtl w:val="0"/>
          <w:lang w:val="en-US"/>
        </w:rPr>
        <w:t xml:space="preserve"> towards individuals or groups based on certain characteristics. Khachatryan</w:t>
      </w:r>
      <w:r>
        <w:rPr>
          <w:rtl w:val="0"/>
          <w:lang w:val="en-US"/>
        </w:rPr>
        <w:t>’</w:t>
      </w:r>
      <w:r>
        <w:rPr>
          <w:rtl w:val="0"/>
          <w:lang w:val="en-US"/>
        </w:rPr>
        <w:t xml:space="preserve">s remarks show clear signs of such an offense </w:t>
      </w:r>
      <w:r>
        <w:rPr>
          <w:rtl w:val="0"/>
          <w:lang w:val="en-US"/>
        </w:rPr>
        <w:t xml:space="preserve">– </w:t>
      </w:r>
      <w:r>
        <w:rPr>
          <w:rtl w:val="0"/>
          <w:lang w:val="en-US"/>
        </w:rPr>
        <w:t xml:space="preserve">public incitement of hatred and hostility based on nationality. She effectively positioned herself against a group of </w:t>
      </w:r>
      <w:r>
        <w:rPr>
          <w:rtl w:val="0"/>
          <w:lang w:val="en-US"/>
        </w:rPr>
        <w:t>“</w:t>
      </w:r>
      <w:r>
        <w:rPr>
          <w:rtl w:val="0"/>
          <w:lang w:val="en-US"/>
        </w:rPr>
        <w:t>Russian</w:t>
      </w:r>
      <w:r>
        <w:rPr>
          <w:rtl w:val="0"/>
          <w:lang w:val="en-US"/>
        </w:rPr>
        <w:t xml:space="preserve">” </w:t>
      </w:r>
      <w:r>
        <w:rPr>
          <w:rtl w:val="0"/>
          <w:lang w:val="en-US"/>
        </w:rPr>
        <w:t xml:space="preserve">residents, used a derogatory slur, and expressed aggression based on an ethnic stereotype, which qualifies as </w:t>
      </w:r>
      <w:r>
        <w:rPr>
          <w:rFonts w:ascii="Cambria Bold" w:hAnsi="Cambria Bold"/>
          <w:rtl w:val="0"/>
          <w:lang w:val="en-US"/>
        </w:rPr>
        <w:t>hate speech</w:t>
      </w:r>
      <w:r>
        <w:rPr>
          <w:rtl w:val="0"/>
          <w:lang w:val="en-US"/>
        </w:rPr>
        <w:t>.</w:t>
      </w:r>
    </w:p>
    <w:p>
      <w:pPr>
        <w:pStyle w:val="Body Text"/>
      </w:pPr>
      <w:r>
        <w:rPr>
          <w:rFonts w:ascii="Cambria Bold" w:hAnsi="Cambria Bold"/>
          <w:rtl w:val="0"/>
          <w:lang w:val="en-US"/>
        </w:rPr>
        <w:t>Constituent Elements of the Crime:</w:t>
      </w:r>
      <w:r>
        <w:rPr>
          <w:rtl w:val="0"/>
          <w:lang w:val="en-US"/>
        </w:rPr>
        <w:t xml:space="preserve"> According to Article 329</w:t>
      </w:r>
      <w:r>
        <w:rPr>
          <w:rStyle w:val="Footnote Reference"/>
          <w:rFonts w:ascii="Cambria" w:cs="Cambria" w:hAnsi="Cambria" w:eastAsia="Cambria"/>
          <w:b w:val="0"/>
          <w:bCs w:val="0"/>
          <w:i w:val="0"/>
          <w:iCs w:val="0"/>
        </w:rPr>
        <w:footnoteReference w:id="7"/>
      </w:r>
      <w:r>
        <w:rPr>
          <w:rtl w:val="0"/>
          <w:lang w:val="en-US"/>
        </w:rPr>
        <w:t xml:space="preserve">, the crime is complete when there is a </w:t>
      </w:r>
      <w:r>
        <w:rPr>
          <w:rFonts w:ascii="Cambria Bold" w:hAnsi="Cambria Bold"/>
          <w:rtl w:val="0"/>
          <w:lang w:val="en-US"/>
        </w:rPr>
        <w:t>public statement</w:t>
      </w:r>
      <w:r>
        <w:rPr>
          <w:rtl w:val="0"/>
          <w:lang w:val="en-US"/>
        </w:rPr>
        <w:t xml:space="preserve"> aimed at </w:t>
      </w:r>
      <w:r>
        <w:rPr>
          <w:rFonts w:ascii="Cambria Bold" w:hAnsi="Cambria Bold"/>
          <w:rtl w:val="0"/>
          <w:lang w:val="en-US"/>
        </w:rPr>
        <w:t>inciting hatred or hostility</w:t>
      </w:r>
      <w:r>
        <w:rPr>
          <w:rtl w:val="0"/>
          <w:lang w:val="en-US"/>
        </w:rPr>
        <w:t xml:space="preserve">. The phrase </w:t>
      </w:r>
      <w:r>
        <w:rPr>
          <w:rtl w:val="0"/>
          <w:lang w:val="en-US"/>
        </w:rPr>
        <w:t>“</w:t>
      </w:r>
      <w:r>
        <w:rPr>
          <w:rtl w:val="0"/>
          <w:lang w:val="en-US"/>
        </w:rPr>
        <w:t>rotten Russians</w:t>
      </w:r>
      <w:r>
        <w:rPr>
          <w:rtl w:val="0"/>
          <w:lang w:val="en-US"/>
        </w:rPr>
        <w:t xml:space="preserve">” </w:t>
      </w:r>
      <w:r>
        <w:rPr>
          <w:rtl w:val="0"/>
          <w:lang w:val="en-US"/>
        </w:rPr>
        <w:t>reveals a call for hostile attitudes and degradation of a group of people based on nationality. Aggravating factors may include:</w:t>
      </w:r>
    </w:p>
    <w:p>
      <w:pPr>
        <w:pStyle w:val="Compact"/>
        <w:numPr>
          <w:ilvl w:val="0"/>
          <w:numId w:val="2"/>
        </w:numPr>
        <w:rPr>
          <w:lang w:val="en-US"/>
        </w:rPr>
      </w:pPr>
      <w:r>
        <w:rPr>
          <w:rtl w:val="0"/>
          <w:lang w:val="en-US"/>
        </w:rPr>
        <w:t>The statement was made by a public official acting in a position of authority and in opposition to a peaceful civic protest (Clause 2.2);</w:t>
      </w:r>
    </w:p>
    <w:p>
      <w:pPr>
        <w:pStyle w:val="Compact"/>
        <w:numPr>
          <w:ilvl w:val="0"/>
          <w:numId w:val="2"/>
        </w:numPr>
        <w:rPr>
          <w:lang w:val="en-US"/>
        </w:rPr>
      </w:pPr>
      <w:r>
        <w:rPr>
          <w:rtl w:val="0"/>
          <w:lang w:val="en-US"/>
        </w:rPr>
        <w:t>The statement was disseminated via mass media (live broadcast on Factor.AM) (Clause 2.3);</w:t>
      </w:r>
    </w:p>
    <w:p>
      <w:pPr>
        <w:pStyle w:val="Body"/>
      </w:pPr>
      <w:r>
        <mc:AlternateContent>
          <mc:Choice Requires="wps">
            <w:drawing xmlns:a="http://schemas.openxmlformats.org/drawingml/2006/main">
              <wp:inline distT="0" distB="0" distL="0" distR="0">
                <wp:extent cx="5943600" cy="19050"/>
                <wp:effectExtent l="0" t="0" r="0" b="0"/>
                <wp:docPr id="1073741827" name="officeArt object" descr="Rectangle"/>
                <wp:cNvGraphicFramePr/>
                <a:graphic xmlns:a="http://schemas.openxmlformats.org/drawingml/2006/main">
                  <a:graphicData uri="http://schemas.microsoft.com/office/word/2010/wordprocessingShape">
                    <wps:wsp>
                      <wps:cNvSpPr/>
                      <wps:spPr>
                        <a:xfrm>
                          <a:off x="0" y="0"/>
                          <a:ext cx="5943600" cy="19050"/>
                        </a:xfrm>
                        <a:prstGeom prst="rect">
                          <a:avLst/>
                        </a:prstGeom>
                        <a:solidFill>
                          <a:srgbClr val="FFFFFF"/>
                        </a:solidFill>
                        <a:ln w="9525" cap="flat">
                          <a:solidFill>
                            <a:srgbClr val="000000"/>
                          </a:solidFill>
                          <a:prstDash val="solid"/>
                          <a:round/>
                        </a:ln>
                        <a:effectLst/>
                      </wps:spPr>
                      <wps:bodyPr/>
                    </wps:wsp>
                  </a:graphicData>
                </a:graphic>
              </wp:inline>
            </w:drawing>
          </mc:Choice>
          <mc:Fallback>
            <w:pict>
              <v:rect id="_x0000_s1028" style="visibility:visible;width:468.0pt;height:1.5pt;">
                <v:fill color="#FFFFFF" opacity="100.0%" type="solid"/>
                <v:stroke filltype="solid" color="#000000" opacity="100.0%" weight="0.8pt" dashstyle="solid" endcap="flat" joinstyle="round" linestyle="single" startarrow="none" startarrowwidth="medium" startarrowlength="medium" endarrow="none" endarrowwidth="medium" endarrowlength="medium"/>
              </v:rect>
            </w:pict>
          </mc:Fallback>
        </mc:AlternateContent>
      </w:r>
      <w:bookmarkEnd w:id="3"/>
    </w:p>
    <w:p>
      <w:pPr>
        <w:pStyle w:val="Heading 3"/>
      </w:pPr>
      <w:bookmarkStart w:name="Xbddc9bde50efccd324e0486e8512f3280cbd7fa" w:id="4"/>
      <w:r>
        <w:rPr>
          <w:rFonts w:cs="Arial Unicode MS" w:eastAsia="Arial Unicode MS"/>
          <w:rtl w:val="0"/>
          <w:lang w:val="en-US"/>
        </w:rPr>
        <w:t xml:space="preserve">1.3 The Law </w:t>
      </w:r>
      <w:r>
        <w:rPr>
          <w:rFonts w:cs="Arial Unicode MS" w:eastAsia="Arial Unicode MS" w:hint="default"/>
          <w:rtl w:val="1"/>
          <w:lang w:val="ar-SA" w:bidi="ar-SA"/>
        </w:rPr>
        <w:t>“</w:t>
      </w:r>
      <w:r>
        <w:rPr>
          <w:rFonts w:cs="Arial Unicode MS" w:eastAsia="Arial Unicode MS"/>
          <w:rtl w:val="0"/>
          <w:lang w:val="en-US"/>
        </w:rPr>
        <w:t>On Public Service</w:t>
      </w:r>
      <w:r>
        <w:rPr>
          <w:rFonts w:cs="Arial Unicode MS" w:eastAsia="Arial Unicode MS" w:hint="default"/>
          <w:rtl w:val="0"/>
        </w:rPr>
        <w:t xml:space="preserve">” </w:t>
      </w:r>
      <w:r>
        <w:rPr>
          <w:rFonts w:cs="Arial Unicode MS" w:eastAsia="Arial Unicode MS"/>
          <w:rtl w:val="0"/>
          <w:lang w:val="en-US"/>
        </w:rPr>
        <w:t>and the Ethics of Officials</w:t>
      </w:r>
    </w:p>
    <w:p>
      <w:pPr>
        <w:pStyle w:val="First Paragraph"/>
      </w:pPr>
      <w:r>
        <w:rPr>
          <w:rtl w:val="0"/>
          <w:lang w:val="en-US"/>
        </w:rPr>
        <w:t>As an elected member of the Yerevan Council of Elders (municipal council), Ani Khachatryan is a public official of local self-government. Her conduct is governed not only by criminal law but also by rules setting ethical standards for officials and municipal deputies:</w:t>
      </w:r>
    </w:p>
    <w:p>
      <w:pPr>
        <w:pStyle w:val="Body Text"/>
      </w:pPr>
      <w:r>
        <w:rPr>
          <w:rFonts w:ascii="Cambria Bold" w:hAnsi="Cambria Bold"/>
          <w:rtl w:val="0"/>
          <w:lang w:val="en-US"/>
        </w:rPr>
        <w:t>Principles of Impartiality and Respect:</w:t>
      </w:r>
      <w:r>
        <w:rPr>
          <w:rtl w:val="0"/>
          <w:lang w:val="en-US"/>
        </w:rPr>
        <w:t xml:space="preserve"> The RA Law </w:t>
      </w:r>
      <w:r>
        <w:rPr>
          <w:rtl w:val="0"/>
          <w:lang w:val="en-US"/>
        </w:rPr>
        <w:t>“</w:t>
      </w:r>
      <w:r>
        <w:rPr>
          <w:rtl w:val="0"/>
          <w:lang w:val="en-US"/>
        </w:rPr>
        <w:t>On Public Service</w:t>
      </w:r>
      <w:r>
        <w:rPr>
          <w:rStyle w:val="Footnote Reference"/>
          <w:rFonts w:ascii="Cambria" w:cs="Cambria" w:hAnsi="Cambria" w:eastAsia="Cambria"/>
          <w:b w:val="0"/>
          <w:bCs w:val="0"/>
          <w:i w:val="0"/>
          <w:iCs w:val="0"/>
        </w:rPr>
        <w:footnoteReference w:id="8"/>
      </w:r>
      <w:r>
        <w:rPr>
          <w:rtl w:val="0"/>
          <w:lang w:val="en-US"/>
        </w:rPr>
        <w:t xml:space="preserve">” </w:t>
      </w:r>
      <w:r>
        <w:rPr>
          <w:rtl w:val="0"/>
          <w:lang w:val="en-US"/>
        </w:rPr>
        <w:t xml:space="preserve">(2011, as amended) sets out </w:t>
      </w:r>
      <w:r>
        <w:rPr>
          <w:rFonts w:ascii="Cambria Bold" w:hAnsi="Cambria Bold"/>
          <w:rtl w:val="0"/>
          <w:lang w:val="en-US"/>
        </w:rPr>
        <w:t>behavioral principles</w:t>
      </w:r>
      <w:r>
        <w:rPr>
          <w:rtl w:val="0"/>
          <w:lang w:val="en-US"/>
        </w:rPr>
        <w:t xml:space="preserve"> for persons holding public office. According to Article 22, core principles for public officials include service to the public, loyalty to the public interest, </w:t>
      </w:r>
      <w:r>
        <w:rPr>
          <w:rFonts w:ascii="Cambria Bold" w:hAnsi="Cambria Bold"/>
          <w:rtl w:val="0"/>
          <w:lang w:val="en-US"/>
        </w:rPr>
        <w:t>morality and respectfulness</w:t>
      </w:r>
      <w:r>
        <w:rPr>
          <w:rtl w:val="0"/>
          <w:lang w:val="en-US"/>
        </w:rPr>
        <w:t xml:space="preserve">, integrity, and </w:t>
      </w:r>
      <w:r>
        <w:rPr>
          <w:rFonts w:ascii="Cambria Bold" w:hAnsi="Cambria Bold"/>
          <w:rtl w:val="0"/>
          <w:lang w:val="en-US"/>
        </w:rPr>
        <w:t>objectivity</w:t>
      </w:r>
      <w:r>
        <w:rPr>
          <w:rtl w:val="0"/>
          <w:lang w:val="en-US"/>
        </w:rPr>
        <w:t>. Khachatryan</w:t>
      </w:r>
      <w:r>
        <w:rPr>
          <w:rtl w:val="0"/>
          <w:lang w:val="en-US"/>
        </w:rPr>
        <w:t>’</w:t>
      </w:r>
      <w:r>
        <w:rPr>
          <w:rtl w:val="0"/>
          <w:lang w:val="en-US"/>
        </w:rPr>
        <w:t xml:space="preserve">s remarks clearly violate the principle of </w:t>
      </w:r>
      <w:r>
        <w:rPr>
          <w:rFonts w:ascii="Cambria Bold" w:hAnsi="Cambria Bold"/>
          <w:rtl w:val="0"/>
          <w:lang w:val="en-US"/>
        </w:rPr>
        <w:t>respectful treatment</w:t>
      </w:r>
      <w:r>
        <w:rPr>
          <w:rtl w:val="0"/>
          <w:lang w:val="en-US"/>
        </w:rPr>
        <w:t xml:space="preserve"> – </w:t>
      </w:r>
      <w:r>
        <w:rPr>
          <w:rtl w:val="0"/>
          <w:lang w:val="en-US"/>
        </w:rPr>
        <w:t>rather than demonstrating impartiality and equal respect for all residents, she expressed rudeness and prejudice on a national basis. This contradicts the law</w:t>
      </w:r>
      <w:r>
        <w:rPr>
          <w:rtl w:val="0"/>
          <w:lang w:val="en-US"/>
        </w:rPr>
        <w:t>’</w:t>
      </w:r>
      <w:r>
        <w:rPr>
          <w:rtl w:val="0"/>
          <w:lang w:val="en-US"/>
        </w:rPr>
        <w:t>s vision of a public servant</w:t>
      </w:r>
      <w:r>
        <w:rPr>
          <w:rtl w:val="0"/>
          <w:lang w:val="en-US"/>
        </w:rPr>
        <w:t>’</w:t>
      </w:r>
      <w:r>
        <w:rPr>
          <w:rtl w:val="0"/>
          <w:lang w:val="en-US"/>
        </w:rPr>
        <w:t xml:space="preserve">s ethical profile. Even if a Council of Elders member is not a </w:t>
      </w:r>
      <w:r>
        <w:rPr>
          <w:rtl w:val="0"/>
          <w:lang w:val="en-US"/>
        </w:rPr>
        <w:t>“</w:t>
      </w:r>
      <w:r>
        <w:rPr>
          <w:rtl w:val="0"/>
          <w:lang w:val="en-US"/>
        </w:rPr>
        <w:t>civil servant</w:t>
      </w:r>
      <w:r>
        <w:rPr>
          <w:rtl w:val="0"/>
          <w:lang w:val="en-US"/>
        </w:rPr>
        <w:t xml:space="preserve">” </w:t>
      </w:r>
      <w:r>
        <w:rPr>
          <w:rtl w:val="0"/>
          <w:lang w:val="en-US"/>
        </w:rPr>
        <w:t xml:space="preserve">in the narrow sense, ethical standards and moral imperatives of political rhetoric </w:t>
      </w:r>
      <w:r>
        <w:rPr>
          <w:rFonts w:ascii="Cambria Bold" w:hAnsi="Cambria Bold"/>
          <w:rtl w:val="0"/>
          <w:lang w:val="en-US"/>
        </w:rPr>
        <w:t>apply to all elected officials</w:t>
      </w:r>
      <w:r>
        <w:rPr>
          <w:rtl w:val="0"/>
          <w:lang w:val="en-US"/>
        </w:rPr>
        <w:t>.</w:t>
      </w:r>
    </w:p>
    <w:p>
      <w:pPr>
        <w:pStyle w:val="Body"/>
      </w:pPr>
      <w:r>
        <mc:AlternateContent>
          <mc:Choice Requires="wps">
            <w:drawing xmlns:a="http://schemas.openxmlformats.org/drawingml/2006/main">
              <wp:inline distT="0" distB="0" distL="0" distR="0">
                <wp:extent cx="5943600" cy="19050"/>
                <wp:effectExtent l="0" t="0" r="0" b="0"/>
                <wp:docPr id="1073741828" name="officeArt object" descr="Rectangle"/>
                <wp:cNvGraphicFramePr/>
                <a:graphic xmlns:a="http://schemas.openxmlformats.org/drawingml/2006/main">
                  <a:graphicData uri="http://schemas.microsoft.com/office/word/2010/wordprocessingShape">
                    <wps:wsp>
                      <wps:cNvSpPr/>
                      <wps:spPr>
                        <a:xfrm>
                          <a:off x="0" y="0"/>
                          <a:ext cx="5943600" cy="19050"/>
                        </a:xfrm>
                        <a:prstGeom prst="rect">
                          <a:avLst/>
                        </a:prstGeom>
                        <a:solidFill>
                          <a:srgbClr val="FFFFFF"/>
                        </a:solidFill>
                        <a:ln w="9525" cap="flat">
                          <a:solidFill>
                            <a:srgbClr val="000000"/>
                          </a:solidFill>
                          <a:prstDash val="solid"/>
                          <a:round/>
                        </a:ln>
                        <a:effectLst/>
                      </wps:spPr>
                      <wps:bodyPr/>
                    </wps:wsp>
                  </a:graphicData>
                </a:graphic>
              </wp:inline>
            </w:drawing>
          </mc:Choice>
          <mc:Fallback>
            <w:pict>
              <v:rect id="_x0000_s1029" style="visibility:visible;width:468.0pt;height:1.5pt;">
                <v:fill color="#FFFFFF" opacity="100.0%" type="solid"/>
                <v:stroke filltype="solid" color="#000000" opacity="100.0%" weight="0.8pt" dashstyle="solid" endcap="flat" joinstyle="round" linestyle="single" startarrow="none" startarrowwidth="medium" startarrowlength="medium" endarrow="none" endarrowwidth="medium" endarrowlength="medium"/>
              </v:rect>
            </w:pict>
          </mc:Fallback>
        </mc:AlternateContent>
      </w:r>
      <w:bookmarkEnd w:id="4"/>
    </w:p>
    <w:p>
      <w:pPr>
        <w:pStyle w:val="Heading 3"/>
      </w:pPr>
      <w:bookmarkStart w:name="X261d7188d470cc1788844f206bd74aec49d8d9c" w:id="5"/>
      <w:r>
        <w:rPr>
          <w:rFonts w:cs="Arial Unicode MS" w:eastAsia="Arial Unicode MS"/>
          <w:rtl w:val="0"/>
          <w:lang w:val="en-US"/>
        </w:rPr>
        <w:t>1.4 Freedom of Assembly and Expression (Guarantees and Abuse)</w:t>
      </w:r>
    </w:p>
    <w:p>
      <w:pPr>
        <w:pStyle w:val="First Paragraph"/>
      </w:pPr>
      <w:r>
        <w:rPr>
          <w:rtl w:val="0"/>
          <w:lang w:val="en-US"/>
        </w:rPr>
        <w:t>Khachatryan</w:t>
      </w:r>
      <w:r>
        <w:rPr>
          <w:rtl w:val="0"/>
          <w:lang w:val="en-US"/>
        </w:rPr>
        <w:t>’</w:t>
      </w:r>
      <w:r>
        <w:rPr>
          <w:rtl w:val="0"/>
          <w:lang w:val="en-US"/>
        </w:rPr>
        <w:t>s comments were made in the context of a public protest against tree-cutting. This touches on the rights of protesters and the role of a public official:</w:t>
      </w:r>
    </w:p>
    <w:p>
      <w:pPr>
        <w:pStyle w:val="Body Text"/>
      </w:pPr>
      <w:r>
        <w:rPr>
          <w:rFonts w:ascii="Cambria Bold" w:hAnsi="Cambria Bold"/>
          <w:rtl w:val="0"/>
          <w:lang w:val="en-US"/>
        </w:rPr>
        <w:t>Right to Peaceful Assembly:</w:t>
      </w:r>
      <w:r>
        <w:rPr>
          <w:rtl w:val="0"/>
          <w:lang w:val="en-US"/>
        </w:rPr>
        <w:t xml:space="preserve"> The RA Constitution</w:t>
      </w:r>
      <w:r>
        <w:rPr>
          <w:rStyle w:val="Footnote Reference"/>
          <w:rFonts w:ascii="Cambria" w:cs="Cambria" w:hAnsi="Cambria" w:eastAsia="Cambria"/>
          <w:b w:val="0"/>
          <w:bCs w:val="0"/>
          <w:i w:val="0"/>
          <w:iCs w:val="0"/>
        </w:rPr>
        <w:footnoteReference w:id="9"/>
      </w:r>
      <w:r>
        <w:rPr>
          <w:rtl w:val="0"/>
          <w:lang w:val="en-US"/>
        </w:rPr>
        <w:t xml:space="preserve"> (Article 44) and the RA Law </w:t>
      </w:r>
      <w:r>
        <w:rPr>
          <w:rtl w:val="0"/>
          <w:lang w:val="en-US"/>
        </w:rPr>
        <w:t>“</w:t>
      </w:r>
      <w:r>
        <w:rPr>
          <w:rtl w:val="0"/>
          <w:lang w:val="en-US"/>
        </w:rPr>
        <w:t>On Freedom of Assembly</w:t>
      </w:r>
      <w:r>
        <w:rPr>
          <w:rStyle w:val="Footnote Reference"/>
          <w:rFonts w:ascii="Cambria" w:cs="Cambria" w:hAnsi="Cambria" w:eastAsia="Cambria"/>
          <w:b w:val="0"/>
          <w:bCs w:val="0"/>
          <w:i w:val="0"/>
          <w:iCs w:val="0"/>
        </w:rPr>
        <w:footnoteReference w:id="10"/>
      </w:r>
      <w:r>
        <w:rPr>
          <w:rtl w:val="0"/>
          <w:lang w:val="en-US"/>
        </w:rPr>
        <w:t xml:space="preserve">” </w:t>
      </w:r>
      <w:r>
        <w:rPr>
          <w:rtl w:val="0"/>
          <w:lang w:val="en-US"/>
        </w:rPr>
        <w:t xml:space="preserve">guarantee everyone (including foreign citizens legally residing in the country) the right to peaceful assembly and expression of opinion. The participants of the protest at city hall </w:t>
      </w:r>
      <w:r>
        <w:rPr>
          <w:rtl w:val="0"/>
          <w:lang w:val="en-US"/>
        </w:rPr>
        <w:t xml:space="preserve">– </w:t>
      </w:r>
      <w:r>
        <w:rPr>
          <w:rtl w:val="0"/>
          <w:lang w:val="en-US"/>
        </w:rPr>
        <w:t xml:space="preserve">regardless of their citizenship </w:t>
      </w:r>
      <w:r>
        <w:rPr>
          <w:rtl w:val="0"/>
          <w:lang w:val="en-US"/>
        </w:rPr>
        <w:t xml:space="preserve">– </w:t>
      </w:r>
      <w:r>
        <w:rPr>
          <w:rtl w:val="0"/>
          <w:lang w:val="en-US"/>
        </w:rPr>
        <w:t>had full legal grounds to protest. Khachatryan</w:t>
      </w:r>
      <w:r>
        <w:rPr>
          <w:rtl w:val="0"/>
          <w:lang w:val="en-US"/>
        </w:rPr>
        <w:t>’</w:t>
      </w:r>
      <w:r>
        <w:rPr>
          <w:rtl w:val="0"/>
          <w:lang w:val="en-US"/>
        </w:rPr>
        <w:t>s claim that Russian citizens (</w:t>
      </w:r>
      <w:r>
        <w:rPr>
          <w:rtl w:val="0"/>
          <w:lang w:val="en-US"/>
        </w:rPr>
        <w:t>“</w:t>
      </w:r>
      <w:r>
        <w:rPr>
          <w:rtl w:val="0"/>
          <w:lang w:val="en-US"/>
        </w:rPr>
        <w:t>Russians</w:t>
      </w:r>
      <w:r>
        <w:rPr>
          <w:rtl w:val="0"/>
          <w:lang w:val="en-US"/>
        </w:rPr>
        <w:t>”</w:t>
      </w:r>
      <w:r>
        <w:rPr>
          <w:rtl w:val="0"/>
          <w:lang w:val="en-US"/>
        </w:rPr>
        <w:t xml:space="preserve">) have no right to participate in public actions effectively denies </w:t>
      </w:r>
      <w:r>
        <w:rPr>
          <w:rFonts w:ascii="Cambria Bold" w:hAnsi="Cambria Bold"/>
          <w:rtl w:val="0"/>
          <w:lang w:val="en-US"/>
        </w:rPr>
        <w:t>these individuals</w:t>
      </w:r>
      <w:r>
        <w:rPr>
          <w:rFonts w:ascii="Cambria Bold" w:hAnsi="Cambria Bold" w:hint="default"/>
          <w:rtl w:val="0"/>
          <w:lang w:val="en-US"/>
        </w:rPr>
        <w:t xml:space="preserve">’ </w:t>
      </w:r>
      <w:r>
        <w:rPr>
          <w:rFonts w:ascii="Cambria Bold" w:hAnsi="Cambria Bold"/>
          <w:rtl w:val="0"/>
          <w:lang w:val="en-US"/>
        </w:rPr>
        <w:t>right to participate in city life</w:t>
      </w:r>
      <w:r>
        <w:rPr>
          <w:rtl w:val="0"/>
          <w:lang w:val="en-US"/>
        </w:rPr>
        <w:t>. This not only contradicts the spirit of the law on assemblies but also, for example, the RA Electoral Code</w:t>
      </w:r>
      <w:r>
        <w:rPr>
          <w:rStyle w:val="Footnote Reference"/>
          <w:rFonts w:ascii="Cambria" w:cs="Cambria" w:hAnsi="Cambria" w:eastAsia="Cambria"/>
          <w:b w:val="0"/>
          <w:bCs w:val="0"/>
          <w:i w:val="0"/>
          <w:iCs w:val="0"/>
        </w:rPr>
        <w:footnoteReference w:id="11"/>
      </w:r>
      <w:r>
        <w:rPr>
          <w:rtl w:val="0"/>
          <w:lang w:val="en-US"/>
        </w:rPr>
        <w:t xml:space="preserve"> (Article 2, Clause 2.2), which recognizes that city residents (including registered foreigners residing for over a year) are participants in local self-government with voting rights</w:t>
      </w:r>
      <w:r>
        <w:rPr>
          <w:rStyle w:val="Footnote Reference"/>
          <w:rFonts w:ascii="Cambria" w:cs="Cambria" w:hAnsi="Cambria" w:eastAsia="Cambria"/>
          <w:b w:val="0"/>
          <w:bCs w:val="0"/>
          <w:i w:val="0"/>
          <w:iCs w:val="0"/>
        </w:rPr>
        <w:footnoteReference w:id="12"/>
      </w:r>
      <w:r>
        <w:rPr>
          <w:rtl w:val="0"/>
          <w:lang w:val="en-US"/>
        </w:rPr>
        <w:t>. Thus, Khachatryan</w:t>
      </w:r>
      <w:r>
        <w:rPr>
          <w:rtl w:val="0"/>
          <w:lang w:val="en-US"/>
        </w:rPr>
        <w:t>’</w:t>
      </w:r>
      <w:r>
        <w:rPr>
          <w:rtl w:val="0"/>
          <w:lang w:val="en-US"/>
        </w:rPr>
        <w:t xml:space="preserve">s statements can be interpreted as </w:t>
      </w:r>
      <w:r>
        <w:rPr>
          <w:rFonts w:ascii="Cambria Bold" w:hAnsi="Cambria Bold"/>
          <w:rtl w:val="0"/>
          <w:lang w:val="en-US"/>
        </w:rPr>
        <w:t>abuse of freedom of expression</w:t>
      </w:r>
      <w:r>
        <w:rPr>
          <w:rtl w:val="0"/>
          <w:lang w:val="en-US"/>
        </w:rPr>
        <w:t xml:space="preserve"> by a public official aimed at violating the legal rights of others.</w:t>
      </w:r>
    </w:p>
    <w:p>
      <w:pPr>
        <w:pStyle w:val="Body"/>
      </w:pPr>
      <w:r>
        <mc:AlternateContent>
          <mc:Choice Requires="wps">
            <w:drawing xmlns:a="http://schemas.openxmlformats.org/drawingml/2006/main">
              <wp:inline distT="0" distB="0" distL="0" distR="0">
                <wp:extent cx="5943600" cy="19050"/>
                <wp:effectExtent l="0" t="0" r="0" b="0"/>
                <wp:docPr id="1073741829" name="officeArt object" descr="Rectangle"/>
                <wp:cNvGraphicFramePr/>
                <a:graphic xmlns:a="http://schemas.openxmlformats.org/drawingml/2006/main">
                  <a:graphicData uri="http://schemas.microsoft.com/office/word/2010/wordprocessingShape">
                    <wps:wsp>
                      <wps:cNvSpPr/>
                      <wps:spPr>
                        <a:xfrm>
                          <a:off x="0" y="0"/>
                          <a:ext cx="5943600" cy="19050"/>
                        </a:xfrm>
                        <a:prstGeom prst="rect">
                          <a:avLst/>
                        </a:prstGeom>
                        <a:solidFill>
                          <a:srgbClr val="FFFFFF"/>
                        </a:solidFill>
                        <a:ln w="9525" cap="flat">
                          <a:solidFill>
                            <a:srgbClr val="000000"/>
                          </a:solidFill>
                          <a:prstDash val="solid"/>
                          <a:round/>
                        </a:ln>
                        <a:effectLst/>
                      </wps:spPr>
                      <wps:bodyPr/>
                    </wps:wsp>
                  </a:graphicData>
                </a:graphic>
              </wp:inline>
            </w:drawing>
          </mc:Choice>
          <mc:Fallback>
            <w:pict>
              <v:rect id="_x0000_s1030" style="visibility:visible;width:468.0pt;height:1.5pt;">
                <v:fill color="#FFFFFF" opacity="100.0%" type="solid"/>
                <v:stroke filltype="solid" color="#000000" opacity="100.0%" weight="0.8pt" dashstyle="solid" endcap="flat" joinstyle="round" linestyle="single" startarrow="none" startarrowwidth="medium" startarrowlength="medium" endarrow="none" endarrowwidth="medium" endarrowlength="medium"/>
              </v:rect>
            </w:pict>
          </mc:Fallback>
        </mc:AlternateContent>
      </w:r>
      <w:bookmarkEnd w:id="5"/>
    </w:p>
    <w:p>
      <w:pPr>
        <w:pStyle w:val="Heading 2"/>
      </w:pPr>
      <w:bookmarkStart w:name="Xc293d77843727a2c1bb7d99c9756ff7c50d6bb8" w:id="6"/>
      <w:r>
        <w:rPr>
          <w:rFonts w:cs="Arial Unicode MS" w:eastAsia="Arial Unicode MS"/>
          <w:rtl w:val="0"/>
          <w:lang w:val="en-US"/>
        </w:rPr>
        <w:t>2. Violations of Armenia</w:t>
      </w:r>
      <w:r>
        <w:rPr>
          <w:rFonts w:cs="Arial Unicode MS" w:eastAsia="Arial Unicode MS" w:hint="default"/>
          <w:rtl w:val="1"/>
        </w:rPr>
        <w:t>’</w:t>
      </w:r>
      <w:r>
        <w:rPr>
          <w:rFonts w:cs="Arial Unicode MS" w:eastAsia="Arial Unicode MS"/>
          <w:rtl w:val="0"/>
          <w:lang w:val="fr-FR"/>
        </w:rPr>
        <w:t>s International Obligations</w:t>
      </w:r>
    </w:p>
    <w:p>
      <w:pPr>
        <w:pStyle w:val="First Paragraph"/>
      </w:pPr>
      <w:r>
        <w:rPr>
          <w:rtl w:val="0"/>
          <w:lang w:val="en-US"/>
        </w:rPr>
        <w:t>As a member of international organizations and a party to key human rights treaties, Armenia has committed to combating xenophobia and preventing hate speech, especially from public officials.</w:t>
      </w:r>
      <w:bookmarkEnd w:id="6"/>
    </w:p>
    <w:p>
      <w:pPr>
        <w:pStyle w:val="Heading 3"/>
      </w:pPr>
      <w:bookmarkStart w:name="Xa7c14ba1e4d01ea4c839b8bf94a22651e7b7d86" w:id="7"/>
      <w:r>
        <w:rPr>
          <w:rFonts w:cs="Arial Unicode MS" w:eastAsia="Arial Unicode MS"/>
          <w:rtl w:val="0"/>
          <w:lang w:val="en-US"/>
        </w:rPr>
        <w:t>2.1 European Convention on Human Rights (ECHR)</w:t>
      </w:r>
    </w:p>
    <w:p>
      <w:pPr>
        <w:pStyle w:val="First Paragraph"/>
      </w:pPr>
      <w:r>
        <w:rPr>
          <w:rFonts w:ascii="Cambria Bold" w:hAnsi="Cambria Bold"/>
          <w:rtl w:val="0"/>
          <w:lang w:val="en-US"/>
        </w:rPr>
        <w:t>Article 14 ECHR</w:t>
      </w:r>
      <w:r>
        <w:rPr>
          <w:rStyle w:val="Footnote Reference"/>
          <w:rFonts w:ascii="Cambria" w:cs="Cambria" w:hAnsi="Cambria" w:eastAsia="Cambria"/>
          <w:b w:val="0"/>
          <w:bCs w:val="0"/>
          <w:i w:val="0"/>
          <w:iCs w:val="0"/>
        </w:rPr>
        <w:footnoteReference w:id="13"/>
      </w:r>
      <w:r>
        <w:rPr>
          <w:rFonts w:ascii="Cambria Bold" w:hAnsi="Cambria Bold"/>
          <w:rtl w:val="0"/>
          <w:lang w:val="en-US"/>
        </w:rPr>
        <w:t xml:space="preserve"> (Prohibition of Discrimination):</w:t>
      </w:r>
      <w:r>
        <w:rPr>
          <w:rtl w:val="0"/>
          <w:lang w:val="en-US"/>
        </w:rPr>
        <w:t xml:space="preserve"> Although auxiliary in nature (prohibiting discrimination in the enjoyment of other rights in the Convention), a public official</w:t>
      </w:r>
      <w:r>
        <w:rPr>
          <w:rtl w:val="0"/>
          <w:lang w:val="en-US"/>
        </w:rPr>
        <w:t>’</w:t>
      </w:r>
      <w:r>
        <w:rPr>
          <w:rtl w:val="0"/>
          <w:lang w:val="en-US"/>
        </w:rPr>
        <w:t>s conduct may violate individuals</w:t>
      </w:r>
      <w:r>
        <w:rPr>
          <w:rtl w:val="0"/>
          <w:lang w:val="en-US"/>
        </w:rPr>
        <w:t xml:space="preserve">’ </w:t>
      </w:r>
      <w:r>
        <w:rPr>
          <w:rtl w:val="0"/>
          <w:lang w:val="en-US"/>
        </w:rPr>
        <w:t xml:space="preserve">rights based on their nationality. If the protest participants were insulted and effectively denied their right to freedom of assembly due to their national origin, this may constitute a violation of Article 14 in conjunction with Article 11 (freedom of assembly) or Article 10 (freedom of expression). The state (represented by a local government official) must not allow </w:t>
      </w:r>
      <w:r>
        <w:rPr>
          <w:rFonts w:ascii="Cambria Bold" w:hAnsi="Cambria Bold"/>
          <w:rtl w:val="0"/>
          <w:lang w:val="en-US"/>
        </w:rPr>
        <w:t>unequal treatment</w:t>
      </w:r>
      <w:r>
        <w:rPr>
          <w:rtl w:val="0"/>
          <w:lang w:val="en-US"/>
        </w:rPr>
        <w:t xml:space="preserve"> based on nationality when individuals exercise their rights and freedoms.</w:t>
      </w:r>
    </w:p>
    <w:p>
      <w:pPr>
        <w:pStyle w:val="Body Text"/>
      </w:pPr>
      <w:r>
        <w:rPr>
          <w:rFonts w:ascii="Cambria Bold" w:hAnsi="Cambria Bold"/>
          <w:rtl w:val="0"/>
          <w:lang w:val="en-US"/>
        </w:rPr>
        <w:t>Article 10 ECHR (Freedom of Expression) and Hate Speech:</w:t>
      </w:r>
      <w:r>
        <w:rPr>
          <w:rtl w:val="0"/>
          <w:lang w:val="en-US"/>
        </w:rPr>
        <w:t xml:space="preserve"> The ECHR protects freedom of speech but does not consider </w:t>
      </w:r>
      <w:r>
        <w:rPr>
          <w:rFonts w:ascii="Cambria Bold" w:hAnsi="Cambria Bold"/>
          <w:rtl w:val="0"/>
          <w:lang w:val="en-US"/>
        </w:rPr>
        <w:t>incitement to hatred</w:t>
      </w:r>
      <w:r>
        <w:rPr>
          <w:rtl w:val="0"/>
          <w:lang w:val="en-US"/>
        </w:rPr>
        <w:t xml:space="preserve"> to be a permissible form of expression. The European Court of Human Rights (ECtHR) has ruled in multiple cases that </w:t>
      </w:r>
      <w:r>
        <w:rPr>
          <w:rFonts w:ascii="Cambria Bold" w:hAnsi="Cambria Bold"/>
          <w:rtl w:val="0"/>
          <w:lang w:val="en-US"/>
        </w:rPr>
        <w:t>hate speech can be lawfully restricted and punished</w:t>
      </w:r>
      <w:r>
        <w:rPr>
          <w:rtl w:val="0"/>
          <w:lang w:val="en-US"/>
        </w:rPr>
        <w:t xml:space="preserve"> in a democratic society. For example, in </w:t>
      </w:r>
      <w:r>
        <w:rPr>
          <w:rFonts w:ascii="Cambria Italic" w:hAnsi="Cambria Italic"/>
          <w:rtl w:val="0"/>
          <w:lang w:val="en-US"/>
        </w:rPr>
        <w:t>Erbakan v. Turkey</w:t>
      </w:r>
      <w:r>
        <w:rPr>
          <w:rStyle w:val="Footnote Reference"/>
          <w:rFonts w:ascii="Cambria" w:cs="Cambria" w:hAnsi="Cambria" w:eastAsia="Cambria"/>
          <w:b w:val="0"/>
          <w:bCs w:val="0"/>
          <w:i w:val="0"/>
          <w:iCs w:val="0"/>
        </w:rPr>
        <w:footnoteReference w:id="14"/>
      </w:r>
      <w:r>
        <w:rPr>
          <w:rtl w:val="0"/>
          <w:lang w:val="en-US"/>
        </w:rPr>
        <w:t xml:space="preserve"> (2006), the ECtHR stated that </w:t>
      </w:r>
      <w:r>
        <w:rPr>
          <w:rFonts w:ascii="Cambria Bold" w:hAnsi="Cambria Bold"/>
          <w:rtl w:val="0"/>
          <w:lang w:val="en-US"/>
        </w:rPr>
        <w:t>tolerance and respect for the equal dignity of all human beings form the foundations of a democratic society</w:t>
      </w:r>
      <w:r>
        <w:rPr>
          <w:rtl w:val="0"/>
          <w:lang w:val="en-US"/>
        </w:rPr>
        <w:t xml:space="preserve">, and that </w:t>
      </w:r>
      <w:r>
        <w:rPr>
          <w:rFonts w:ascii="Cambria Bold" w:hAnsi="Cambria Bold"/>
          <w:rtl w:val="0"/>
          <w:lang w:val="en-US"/>
        </w:rPr>
        <w:t>it may be necessary to sanction or prevent all forms of expression which spread, incite, promote or justify hatred based on intolerance</w:t>
      </w:r>
      <w:r>
        <w:rPr>
          <w:rtl w:val="0"/>
          <w:lang w:val="en-US"/>
        </w:rPr>
        <w:t xml:space="preserve">. In other words, hate speech does not fall under Article 10 protection, or is excluded from it by </w:t>
      </w:r>
      <w:r>
        <w:rPr>
          <w:rFonts w:ascii="Cambria Bold" w:hAnsi="Cambria Bold"/>
          <w:rtl w:val="0"/>
          <w:lang w:val="en-US"/>
        </w:rPr>
        <w:t>Article 17 ECHR</w:t>
      </w:r>
      <w:r>
        <w:rPr>
          <w:rtl w:val="0"/>
          <w:lang w:val="en-US"/>
        </w:rPr>
        <w:t xml:space="preserve"> (prohibition of abuse of rights). ECtHR jurisprudence frequently holds that overtly insulting or hostile remarks targeting national groups may fall outside Convention protection. In the Yerevan case, the state would be expected to respond adequately (e.g., condemn or sanction the official) to balance freedom of speech and the rights of the affected group.</w:t>
      </w:r>
    </w:p>
    <w:p>
      <w:pPr>
        <w:pStyle w:val="Body Text"/>
      </w:pPr>
      <w:r>
        <w:rPr>
          <w:rFonts w:ascii="Cambria Bold" w:hAnsi="Cambria Bold"/>
          <w:rtl w:val="0"/>
          <w:lang w:val="en-US"/>
        </w:rPr>
        <w:t>Precedents:</w:t>
      </w:r>
      <w:r>
        <w:rPr>
          <w:rtl w:val="0"/>
          <w:lang w:val="en-US"/>
        </w:rPr>
        <w:t xml:space="preserve"> The ECtHR has upheld states</w:t>
      </w:r>
      <w:r>
        <w:rPr>
          <w:rtl w:val="0"/>
          <w:lang w:val="en-US"/>
        </w:rPr>
        <w:t xml:space="preserve">’ </w:t>
      </w:r>
      <w:r>
        <w:rPr>
          <w:rtl w:val="0"/>
          <w:lang w:val="en-US"/>
        </w:rPr>
        <w:t xml:space="preserve">measures against public expressions of racial hatred. For example, the former European Commission of Human Rights in </w:t>
      </w:r>
      <w:r>
        <w:rPr>
          <w:rFonts w:ascii="Cambria Italic" w:hAnsi="Cambria Italic"/>
          <w:rtl w:val="0"/>
          <w:lang w:val="en-US"/>
        </w:rPr>
        <w:t>Glimmerveen and Hagenbeek v. Netherlands</w:t>
      </w:r>
      <w:r>
        <w:rPr>
          <w:rStyle w:val="Footnote Reference"/>
          <w:rFonts w:ascii="Cambria" w:cs="Cambria" w:hAnsi="Cambria" w:eastAsia="Cambria"/>
          <w:b w:val="0"/>
          <w:bCs w:val="0"/>
          <w:i w:val="0"/>
          <w:iCs w:val="0"/>
        </w:rPr>
        <w:footnoteReference w:id="15"/>
      </w:r>
      <w:r>
        <w:rPr>
          <w:rtl w:val="0"/>
          <w:lang w:val="en-US"/>
        </w:rPr>
        <w:t xml:space="preserve"> (1979) rejected applicants</w:t>
      </w:r>
      <w:r>
        <w:rPr>
          <w:rtl w:val="0"/>
          <w:lang w:val="en-US"/>
        </w:rPr>
        <w:t xml:space="preserve">’ </w:t>
      </w:r>
      <w:r>
        <w:rPr>
          <w:rtl w:val="0"/>
          <w:lang w:val="en-US"/>
        </w:rPr>
        <w:t xml:space="preserve">claims after they distributed flyers calling for </w:t>
      </w:r>
      <w:r>
        <w:rPr>
          <w:rtl w:val="0"/>
          <w:lang w:val="en-US"/>
        </w:rPr>
        <w:t>“</w:t>
      </w:r>
      <w:r>
        <w:rPr>
          <w:rtl w:val="0"/>
          <w:lang w:val="en-US"/>
        </w:rPr>
        <w:t>cleansing</w:t>
      </w:r>
      <w:r>
        <w:rPr>
          <w:rtl w:val="0"/>
          <w:lang w:val="en-US"/>
        </w:rPr>
        <w:t xml:space="preserve">” </w:t>
      </w:r>
      <w:r>
        <w:rPr>
          <w:rtl w:val="0"/>
          <w:lang w:val="en-US"/>
        </w:rPr>
        <w:t xml:space="preserve">the country of non-natives, stating that </w:t>
      </w:r>
      <w:r>
        <w:rPr>
          <w:rFonts w:ascii="Cambria Bold" w:hAnsi="Cambria Bold"/>
          <w:rtl w:val="0"/>
          <w:lang w:val="en-US"/>
        </w:rPr>
        <w:t>Article 17 ECHR</w:t>
      </w:r>
      <w:r>
        <w:rPr>
          <w:rtl w:val="0"/>
          <w:lang w:val="en-US"/>
        </w:rPr>
        <w:t xml:space="preserve"> strips such propagandists of the right to hide behind freedom of expression. In the Yerevan case, Khachatryan</w:t>
      </w:r>
      <w:r>
        <w:rPr>
          <w:rtl w:val="0"/>
          <w:lang w:val="en-US"/>
        </w:rPr>
        <w:t>’</w:t>
      </w:r>
      <w:r>
        <w:rPr>
          <w:rtl w:val="0"/>
          <w:lang w:val="en-US"/>
        </w:rPr>
        <w:t xml:space="preserve">s xenophobic remarks directly contradict European standards. Armenia is obligated to </w:t>
      </w:r>
      <w:r>
        <w:rPr>
          <w:rFonts w:ascii="Cambria Bold" w:hAnsi="Cambria Bold"/>
          <w:rtl w:val="0"/>
          <w:lang w:val="en-US"/>
        </w:rPr>
        <w:t>prevent and condemn hate by officials</w:t>
      </w:r>
      <w:r>
        <w:rPr>
          <w:rtl w:val="0"/>
          <w:lang w:val="en-US"/>
        </w:rPr>
        <w:t>; failure to do so may be interpreted as a breach of the Convention</w:t>
      </w:r>
      <w:r>
        <w:rPr>
          <w:rtl w:val="0"/>
          <w:lang w:val="en-US"/>
        </w:rPr>
        <w:t>’</w:t>
      </w:r>
      <w:r>
        <w:rPr>
          <w:rtl w:val="0"/>
          <w:lang w:val="en-US"/>
        </w:rPr>
        <w:t>s spirit and Council of Europe recommendations.</w:t>
      </w:r>
    </w:p>
    <w:p>
      <w:pPr>
        <w:pStyle w:val="Body"/>
      </w:pPr>
      <w:r>
        <mc:AlternateContent>
          <mc:Choice Requires="wps">
            <w:drawing xmlns:a="http://schemas.openxmlformats.org/drawingml/2006/main">
              <wp:inline distT="0" distB="0" distL="0" distR="0">
                <wp:extent cx="5943600" cy="19050"/>
                <wp:effectExtent l="0" t="0" r="0" b="0"/>
                <wp:docPr id="1073741830" name="officeArt object" descr="Rectangle"/>
                <wp:cNvGraphicFramePr/>
                <a:graphic xmlns:a="http://schemas.openxmlformats.org/drawingml/2006/main">
                  <a:graphicData uri="http://schemas.microsoft.com/office/word/2010/wordprocessingShape">
                    <wps:wsp>
                      <wps:cNvSpPr/>
                      <wps:spPr>
                        <a:xfrm>
                          <a:off x="0" y="0"/>
                          <a:ext cx="5943600" cy="19050"/>
                        </a:xfrm>
                        <a:prstGeom prst="rect">
                          <a:avLst/>
                        </a:prstGeom>
                        <a:solidFill>
                          <a:srgbClr val="FFFFFF"/>
                        </a:solidFill>
                        <a:ln w="9525" cap="flat">
                          <a:solidFill>
                            <a:srgbClr val="000000"/>
                          </a:solidFill>
                          <a:prstDash val="solid"/>
                          <a:round/>
                        </a:ln>
                        <a:effectLst/>
                      </wps:spPr>
                      <wps:bodyPr/>
                    </wps:wsp>
                  </a:graphicData>
                </a:graphic>
              </wp:inline>
            </w:drawing>
          </mc:Choice>
          <mc:Fallback>
            <w:pict>
              <v:rect id="_x0000_s1031" style="visibility:visible;width:468.0pt;height:1.5pt;">
                <v:fill color="#FFFFFF" opacity="100.0%" type="solid"/>
                <v:stroke filltype="solid" color="#000000" opacity="100.0%" weight="0.8pt" dashstyle="solid" endcap="flat" joinstyle="round" linestyle="single" startarrow="none" startarrowwidth="medium" startarrowlength="medium" endarrow="none" endarrowwidth="medium" endarrowlength="medium"/>
              </v:rect>
            </w:pict>
          </mc:Fallback>
        </mc:AlternateContent>
      </w:r>
      <w:bookmarkEnd w:id="7"/>
    </w:p>
    <w:p>
      <w:pPr>
        <w:pStyle w:val="Heading 3"/>
      </w:pPr>
      <w:bookmarkStart w:name="Xdb04c35e0a4112d51228efc97fc24d304901a26" w:id="8"/>
      <w:r>
        <w:rPr>
          <w:rFonts w:cs="Arial Unicode MS" w:eastAsia="Arial Unicode MS"/>
          <w:rtl w:val="0"/>
          <w:lang w:val="en-US"/>
        </w:rPr>
        <w:t>2.2 Council of Europe Documents (ECtHR, ECRI, PACE)</w:t>
      </w:r>
    </w:p>
    <w:p>
      <w:pPr>
        <w:pStyle w:val="First Paragraph"/>
      </w:pPr>
      <w:r>
        <w:rPr>
          <w:rFonts w:ascii="Cambria Bold" w:hAnsi="Cambria Bold"/>
          <w:rtl w:val="0"/>
          <w:lang w:val="en-US"/>
        </w:rPr>
        <w:t>European Commission against Racism and Intolerance</w:t>
      </w:r>
      <w:r>
        <w:rPr>
          <w:rtl w:val="0"/>
          <w:lang w:val="en-US"/>
        </w:rPr>
        <w:t xml:space="preserve"> (ECRI)</w:t>
      </w:r>
      <w:r>
        <w:rPr>
          <w:rStyle w:val="Footnote Reference"/>
          <w:rFonts w:ascii="Cambria" w:cs="Cambria" w:hAnsi="Cambria" w:eastAsia="Cambria"/>
          <w:b w:val="0"/>
          <w:bCs w:val="0"/>
          <w:i w:val="0"/>
          <w:iCs w:val="0"/>
        </w:rPr>
        <w:footnoteReference w:id="16"/>
      </w:r>
      <w:r>
        <w:rPr>
          <w:rtl w:val="0"/>
          <w:lang w:val="en-US"/>
        </w:rPr>
        <w:t>: ECRI has repeatedly emphasized the responsibility of public figures to avoid intolerant speech. In 2012, responding to violence-justifying rhetoric in Armenia, ECRI warned</w:t>
      </w:r>
      <w:r>
        <w:rPr>
          <w:rStyle w:val="Footnote Reference"/>
          <w:rFonts w:ascii="Cambria" w:cs="Cambria" w:hAnsi="Cambria" w:eastAsia="Cambria"/>
          <w:b w:val="0"/>
          <w:bCs w:val="0"/>
          <w:i w:val="0"/>
          <w:iCs w:val="0"/>
        </w:rPr>
        <w:footnoteReference w:id="17"/>
      </w:r>
      <w:r>
        <w:rPr>
          <w:rtl w:val="0"/>
          <w:lang w:val="en-US"/>
        </w:rPr>
        <w:t xml:space="preserve"> that such speech by leading politicians creates a </w:t>
      </w:r>
      <w:r>
        <w:rPr>
          <w:rFonts w:ascii="Cambria Bold" w:hAnsi="Cambria Bold"/>
          <w:rtl w:val="0"/>
          <w:lang w:val="en-US"/>
        </w:rPr>
        <w:t>dangerous climate of impunity</w:t>
      </w:r>
      <w:r>
        <w:rPr>
          <w:rtl w:val="0"/>
          <w:lang w:val="en-US"/>
        </w:rPr>
        <w:t xml:space="preserve"> and undermines respect for human rights. It urged </w:t>
      </w:r>
      <w:r>
        <w:rPr>
          <w:rFonts w:ascii="Cambria Bold" w:hAnsi="Cambria Bold"/>
          <w:rtl w:val="0"/>
          <w:lang w:val="en-US"/>
        </w:rPr>
        <w:t>all Armenian political actors to firmly distance themselves from extremist expressions</w:t>
      </w:r>
      <w:r>
        <w:rPr>
          <w:rtl w:val="0"/>
          <w:lang w:val="en-US"/>
        </w:rPr>
        <w:t xml:space="preserve"> incompatible with Council of Europe values. The analogy is clear: Ani Khachatryan</w:t>
      </w:r>
      <w:r>
        <w:rPr>
          <w:rtl w:val="0"/>
          <w:lang w:val="en-US"/>
        </w:rPr>
        <w:t>’</w:t>
      </w:r>
      <w:r>
        <w:rPr>
          <w:rtl w:val="0"/>
          <w:lang w:val="en-US"/>
        </w:rPr>
        <w:t>s statement is an extreme expression of intolerance (xenophobia), which should be condemned both by her political party and the authorities. Failing to do so sends a signal that such rhetoric is tolerated or encouraged, violating ECRI recommendations and Armenia</w:t>
      </w:r>
      <w:r>
        <w:rPr>
          <w:rtl w:val="0"/>
          <w:lang w:val="en-US"/>
        </w:rPr>
        <w:t>’</w:t>
      </w:r>
      <w:r>
        <w:rPr>
          <w:rtl w:val="0"/>
          <w:lang w:val="en-US"/>
        </w:rPr>
        <w:t>s obligations.</w:t>
      </w:r>
    </w:p>
    <w:p>
      <w:pPr>
        <w:pStyle w:val="Body Text"/>
      </w:pPr>
      <w:r>
        <w:rPr>
          <w:rFonts w:ascii="Cambria Bold" w:hAnsi="Cambria Bold"/>
          <w:rtl w:val="0"/>
          <w:lang w:val="en-US"/>
        </w:rPr>
        <w:t>Parliamentary Assembly of the Council of Europe</w:t>
      </w:r>
      <w:r>
        <w:rPr>
          <w:rtl w:val="0"/>
          <w:lang w:val="en-US"/>
        </w:rPr>
        <w:t xml:space="preserve"> (PACE)</w:t>
      </w:r>
      <w:r>
        <w:rPr>
          <w:rStyle w:val="Footnote Reference"/>
          <w:rFonts w:ascii="Cambria" w:cs="Cambria" w:hAnsi="Cambria" w:eastAsia="Cambria"/>
          <w:b w:val="0"/>
          <w:bCs w:val="0"/>
          <w:i w:val="0"/>
          <w:iCs w:val="0"/>
        </w:rPr>
        <w:footnoteReference w:id="18"/>
      </w:r>
      <w:r>
        <w:rPr>
          <w:rtl w:val="0"/>
          <w:lang w:val="en-US"/>
        </w:rPr>
        <w:t xml:space="preserve"> and </w:t>
      </w:r>
      <w:r>
        <w:rPr>
          <w:rFonts w:ascii="Cambria Bold" w:hAnsi="Cambria Bold"/>
          <w:rtl w:val="0"/>
          <w:lang w:val="en-US"/>
        </w:rPr>
        <w:t>Commissioner for Human Rights:</w:t>
      </w:r>
      <w:r>
        <w:rPr>
          <w:rtl w:val="0"/>
          <w:lang w:val="en-US"/>
        </w:rPr>
        <w:t xml:space="preserve"> These institutions strongly denounce </w:t>
      </w:r>
      <w:r>
        <w:rPr>
          <w:rFonts w:ascii="Cambria Bold" w:hAnsi="Cambria Bold"/>
          <w:rtl w:val="0"/>
          <w:lang w:val="en-US"/>
        </w:rPr>
        <w:t>xenophobia and racism</w:t>
      </w:r>
      <w:r>
        <w:rPr>
          <w:rtl w:val="0"/>
          <w:lang w:val="en-US"/>
        </w:rPr>
        <w:t xml:space="preserve">. PACE resolutions urge states to curb xenophobic speech, especially by officials, as it undermines democratic values. The CoE Commissioner for Human Rights has also emphasized the dangers of hate speech: in Armenia, issues with intolerance (mostly toward religious or sexual minorities) have been noted, and the Commissioner has advocated for a culture of tolerance. In this case, the official made a </w:t>
      </w:r>
      <w:r>
        <w:rPr>
          <w:rFonts w:ascii="Cambria Bold" w:hAnsi="Cambria Bold"/>
          <w:rtl w:val="0"/>
          <w:lang w:val="en-US"/>
        </w:rPr>
        <w:t>xenophobic remark</w:t>
      </w:r>
      <w:r>
        <w:rPr>
          <w:rtl w:val="0"/>
          <w:lang w:val="en-US"/>
        </w:rPr>
        <w:t>, clearly contradicting CoE principles.</w:t>
      </w:r>
    </w:p>
    <w:p>
      <w:pPr>
        <w:pStyle w:val="Body"/>
      </w:pPr>
      <w:r>
        <mc:AlternateContent>
          <mc:Choice Requires="wps">
            <w:drawing xmlns:a="http://schemas.openxmlformats.org/drawingml/2006/main">
              <wp:inline distT="0" distB="0" distL="0" distR="0">
                <wp:extent cx="5943600" cy="19050"/>
                <wp:effectExtent l="0" t="0" r="0" b="0"/>
                <wp:docPr id="1073741831" name="officeArt object" descr="Rectangle"/>
                <wp:cNvGraphicFramePr/>
                <a:graphic xmlns:a="http://schemas.openxmlformats.org/drawingml/2006/main">
                  <a:graphicData uri="http://schemas.microsoft.com/office/word/2010/wordprocessingShape">
                    <wps:wsp>
                      <wps:cNvSpPr/>
                      <wps:spPr>
                        <a:xfrm>
                          <a:off x="0" y="0"/>
                          <a:ext cx="5943600" cy="19050"/>
                        </a:xfrm>
                        <a:prstGeom prst="rect">
                          <a:avLst/>
                        </a:prstGeom>
                        <a:solidFill>
                          <a:srgbClr val="FFFFFF"/>
                        </a:solidFill>
                        <a:ln w="9525" cap="flat">
                          <a:solidFill>
                            <a:srgbClr val="000000"/>
                          </a:solidFill>
                          <a:prstDash val="solid"/>
                          <a:round/>
                        </a:ln>
                        <a:effectLst/>
                      </wps:spPr>
                      <wps:bodyPr/>
                    </wps:wsp>
                  </a:graphicData>
                </a:graphic>
              </wp:inline>
            </w:drawing>
          </mc:Choice>
          <mc:Fallback>
            <w:pict>
              <v:rect id="_x0000_s1032" style="visibility:visible;width:468.0pt;height:1.5pt;">
                <v:fill color="#FFFFFF" opacity="100.0%" type="solid"/>
                <v:stroke filltype="solid" color="#000000" opacity="100.0%" weight="0.8pt" dashstyle="solid" endcap="flat" joinstyle="round" linestyle="single" startarrow="none" startarrowwidth="medium" startarrowlength="medium" endarrow="none" endarrowwidth="medium" endarrowlength="medium"/>
              </v:rect>
            </w:pict>
          </mc:Fallback>
        </mc:AlternateContent>
      </w:r>
      <w:bookmarkEnd w:id="8"/>
    </w:p>
    <w:p>
      <w:pPr>
        <w:pStyle w:val="Heading 3"/>
      </w:pPr>
      <w:bookmarkStart w:name="Xe04bdfcbe46b36105fe9d44189ac6f4a1c5bb00" w:id="9"/>
      <w:r>
        <w:rPr>
          <w:rFonts w:cs="Arial Unicode MS" w:eastAsia="Arial Unicode MS"/>
          <w:rtl w:val="0"/>
          <w:lang w:val="en-US"/>
        </w:rPr>
        <w:t>2.3 OSCE (Organization for Security and Co-operation in Europe)</w:t>
      </w:r>
    </w:p>
    <w:p>
      <w:pPr>
        <w:pStyle w:val="First Paragraph"/>
      </w:pPr>
      <w:r>
        <w:rPr>
          <w:rtl w:val="0"/>
          <w:lang w:val="en-US"/>
        </w:rPr>
        <w:t>As an OSCE participating state, Armenia has committed to opposing intolerance.</w:t>
      </w:r>
    </w:p>
    <w:p>
      <w:pPr>
        <w:pStyle w:val="Body Text"/>
      </w:pPr>
      <w:r>
        <w:rPr>
          <w:rtl w:val="0"/>
          <w:lang w:val="en-US"/>
        </w:rPr>
        <w:t xml:space="preserve">• </w:t>
      </w:r>
      <w:r>
        <w:rPr>
          <w:rFonts w:ascii="Cambria Bold" w:hAnsi="Cambria Bold"/>
          <w:rtl w:val="0"/>
          <w:lang w:val="en-US"/>
        </w:rPr>
        <w:t>2021 Joint Declaration</w:t>
      </w:r>
      <w:r>
        <w:rPr>
          <w:rStyle w:val="Footnote Reference"/>
          <w:rFonts w:ascii="Cambria" w:cs="Cambria" w:hAnsi="Cambria" w:eastAsia="Cambria"/>
          <w:b w:val="0"/>
          <w:bCs w:val="0"/>
          <w:i w:val="0"/>
          <w:iCs w:val="0"/>
        </w:rPr>
        <w:footnoteReference w:id="19"/>
      </w:r>
      <w:r>
        <w:rPr>
          <w:rtl w:val="0"/>
          <w:lang w:val="en-US"/>
        </w:rPr>
        <w:t xml:space="preserve"> (by UN, OSCE, OAS, ACHPR) on freedom of expression and politics directly states that international standards require </w:t>
      </w:r>
      <w:r>
        <w:rPr>
          <w:rFonts w:ascii="Cambria Bold" w:hAnsi="Cambria Bold"/>
          <w:rtl w:val="0"/>
          <w:lang w:val="en-US"/>
        </w:rPr>
        <w:t>all persons, including politicians and public officials, to refrain from hate speech that incites discrimination, hostility, or violence</w:t>
      </w:r>
      <w:r>
        <w:rPr>
          <w:rtl w:val="0"/>
          <w:lang w:val="en-US"/>
        </w:rPr>
        <w:t xml:space="preserve">. Public officials bear a </w:t>
      </w:r>
      <w:r>
        <w:rPr>
          <w:rFonts w:ascii="Cambria Bold" w:hAnsi="Cambria Bold"/>
          <w:rtl w:val="0"/>
          <w:lang w:val="en-US"/>
        </w:rPr>
        <w:t>special responsibility</w:t>
      </w:r>
      <w:r>
        <w:rPr>
          <w:rtl w:val="0"/>
          <w:lang w:val="en-US"/>
        </w:rPr>
        <w:t xml:space="preserve"> not to use hate speech. The declaration stresses a </w:t>
      </w:r>
      <w:r>
        <w:rPr>
          <w:rFonts w:ascii="Cambria Bold" w:hAnsi="Cambria Bold"/>
          <w:rtl w:val="0"/>
          <w:lang w:val="en-US"/>
        </w:rPr>
        <w:t>moral imperative</w:t>
      </w:r>
      <w:r>
        <w:rPr>
          <w:rtl w:val="0"/>
          <w:lang w:val="en-US"/>
        </w:rPr>
        <w:t>: public figures must actively oppose intolerance, not reinforce it.</w:t>
      </w:r>
    </w:p>
    <w:p>
      <w:pPr>
        <w:pStyle w:val="Body Text"/>
      </w:pPr>
      <w:r>
        <w:rPr>
          <w:rtl w:val="0"/>
          <w:lang w:val="en-US"/>
        </w:rPr>
        <w:t xml:space="preserve">• </w:t>
      </w:r>
      <w:r>
        <w:rPr>
          <w:rFonts w:ascii="Cambria Bold" w:hAnsi="Cambria Bold"/>
          <w:rtl w:val="0"/>
          <w:lang w:val="en-US"/>
        </w:rPr>
        <w:t>OSCE Tolerance Committee:</w:t>
      </w:r>
      <w:r>
        <w:rPr>
          <w:rtl w:val="0"/>
          <w:lang w:val="en-US"/>
        </w:rPr>
        <w:t xml:space="preserve"> The OSCE monitors hate incidents and urges state responses. While Khachatryan</w:t>
      </w:r>
      <w:r>
        <w:rPr>
          <w:rtl w:val="0"/>
          <w:lang w:val="en-US"/>
        </w:rPr>
        <w:t>’</w:t>
      </w:r>
      <w:r>
        <w:rPr>
          <w:rtl w:val="0"/>
          <w:lang w:val="en-US"/>
        </w:rPr>
        <w:t xml:space="preserve">s statement was not a violent hate crime, it qualifies as a </w:t>
      </w:r>
      <w:r>
        <w:rPr>
          <w:rFonts w:ascii="Cambria Bold" w:hAnsi="Cambria Bold"/>
          <w:rtl w:val="0"/>
          <w:lang w:val="en-US"/>
        </w:rPr>
        <w:t>hate incident</w:t>
      </w:r>
      <w:r>
        <w:rPr>
          <w:rtl w:val="0"/>
          <w:lang w:val="en-US"/>
        </w:rPr>
        <w:t>, which should also be addressed. The OSCE expects states to condemn xenophobic speech by public figures, as it can escalate into more serious incidents. The OSCE</w:t>
      </w:r>
      <w:r>
        <w:rPr>
          <w:rtl w:val="0"/>
          <w:lang w:val="en-US"/>
        </w:rPr>
        <w:t>’</w:t>
      </w:r>
      <w:r>
        <w:rPr>
          <w:rtl w:val="0"/>
          <w:lang w:val="en-US"/>
        </w:rPr>
        <w:t>s Office for Democratic Institutions and Human Rights (ODIHR)</w:t>
      </w:r>
      <w:r>
        <w:rPr>
          <w:rStyle w:val="Footnote Reference"/>
          <w:rFonts w:ascii="Cambria" w:cs="Cambria" w:hAnsi="Cambria" w:eastAsia="Cambria"/>
          <w:b w:val="0"/>
          <w:bCs w:val="0"/>
          <w:i w:val="0"/>
          <w:iCs w:val="0"/>
        </w:rPr>
        <w:footnoteReference w:id="20"/>
      </w:r>
      <w:r>
        <w:rPr>
          <w:rtl w:val="0"/>
          <w:lang w:val="en-US"/>
        </w:rPr>
        <w:t xml:space="preserve"> and its Representative on Freedom of the Media have stressed that </w:t>
      </w:r>
      <w:r>
        <w:rPr>
          <w:rFonts w:ascii="Cambria Bold" w:hAnsi="Cambria Bold"/>
          <w:rtl w:val="0"/>
          <w:lang w:val="en-US"/>
        </w:rPr>
        <w:t>official xenophobic rhetoric is unacceptable</w:t>
      </w:r>
      <w:r>
        <w:rPr>
          <w:rtl w:val="0"/>
          <w:lang w:val="en-US"/>
        </w:rPr>
        <w:t>, as it undermines public safety and incites division.</w:t>
      </w:r>
    </w:p>
    <w:p>
      <w:pPr>
        <w:pStyle w:val="Body"/>
      </w:pPr>
      <w:r>
        <mc:AlternateContent>
          <mc:Choice Requires="wps">
            <w:drawing xmlns:a="http://schemas.openxmlformats.org/drawingml/2006/main">
              <wp:inline distT="0" distB="0" distL="0" distR="0">
                <wp:extent cx="5943600" cy="19050"/>
                <wp:effectExtent l="0" t="0" r="0" b="0"/>
                <wp:docPr id="1073741832" name="officeArt object" descr="Rectangle"/>
                <wp:cNvGraphicFramePr/>
                <a:graphic xmlns:a="http://schemas.openxmlformats.org/drawingml/2006/main">
                  <a:graphicData uri="http://schemas.microsoft.com/office/word/2010/wordprocessingShape">
                    <wps:wsp>
                      <wps:cNvSpPr/>
                      <wps:spPr>
                        <a:xfrm>
                          <a:off x="0" y="0"/>
                          <a:ext cx="5943600" cy="19050"/>
                        </a:xfrm>
                        <a:prstGeom prst="rect">
                          <a:avLst/>
                        </a:prstGeom>
                        <a:solidFill>
                          <a:srgbClr val="FFFFFF"/>
                        </a:solidFill>
                        <a:ln w="9525" cap="flat">
                          <a:solidFill>
                            <a:srgbClr val="000000"/>
                          </a:solidFill>
                          <a:prstDash val="solid"/>
                          <a:round/>
                        </a:ln>
                        <a:effectLst/>
                      </wps:spPr>
                      <wps:bodyPr/>
                    </wps:wsp>
                  </a:graphicData>
                </a:graphic>
              </wp:inline>
            </w:drawing>
          </mc:Choice>
          <mc:Fallback>
            <w:pict>
              <v:rect id="_x0000_s1033" style="visibility:visible;width:468.0pt;height:1.5pt;">
                <v:fill color="#FFFFFF" opacity="100.0%" type="solid"/>
                <v:stroke filltype="solid" color="#000000" opacity="100.0%" weight="0.8pt" dashstyle="solid" endcap="flat" joinstyle="round" linestyle="single" startarrow="none" startarrowwidth="medium" startarrowlength="medium" endarrow="none" endarrowwidth="medium" endarrowlength="medium"/>
              </v:rect>
            </w:pict>
          </mc:Fallback>
        </mc:AlternateContent>
      </w:r>
      <w:bookmarkEnd w:id="9"/>
    </w:p>
    <w:p>
      <w:pPr>
        <w:pStyle w:val="Heading 3"/>
      </w:pPr>
      <w:bookmarkStart w:name="X95b40d4f6f58e7b7fd019468986df9ce77ead06" w:id="10"/>
      <w:r>
        <w:rPr>
          <w:rFonts w:cs="Arial Unicode MS" w:eastAsia="Arial Unicode MS"/>
          <w:rtl w:val="0"/>
          <w:lang w:val="en-US"/>
        </w:rPr>
        <w:t>2.4 United Nations Obligations</w:t>
      </w:r>
    </w:p>
    <w:p>
      <w:pPr>
        <w:pStyle w:val="First Paragraph"/>
      </w:pPr>
      <w:r>
        <w:rPr>
          <w:rFonts w:ascii="Cambria Bold" w:hAnsi="Cambria Bold"/>
          <w:rtl w:val="0"/>
          <w:lang w:val="en-US"/>
        </w:rPr>
        <w:t>International Covenant on Civil and Political Rights</w:t>
      </w:r>
      <w:r>
        <w:rPr>
          <w:rtl w:val="0"/>
          <w:lang w:val="en-US"/>
        </w:rPr>
        <w:t xml:space="preserve"> (ICCPR)</w:t>
      </w:r>
      <w:r>
        <w:rPr>
          <w:rStyle w:val="Footnote Reference"/>
          <w:rFonts w:ascii="Cambria" w:cs="Cambria" w:hAnsi="Cambria" w:eastAsia="Cambria"/>
          <w:b w:val="0"/>
          <w:bCs w:val="0"/>
          <w:i w:val="0"/>
          <w:iCs w:val="0"/>
        </w:rPr>
        <w:footnoteReference w:id="21"/>
      </w:r>
      <w:r>
        <w:rPr>
          <w:rtl w:val="0"/>
          <w:lang w:val="en-US"/>
        </w:rPr>
        <w:t xml:space="preserve">: Armenia is party to the ICCPR. Article 20(2) states: </w:t>
      </w:r>
      <w:r>
        <w:rPr>
          <w:rFonts w:ascii="Cambria Italic" w:hAnsi="Cambria Italic" w:hint="default"/>
          <w:rtl w:val="0"/>
          <w:lang w:val="en-US"/>
        </w:rPr>
        <w:t>“</w:t>
      </w:r>
      <w:r>
        <w:rPr>
          <w:rFonts w:ascii="Cambria Italic" w:hAnsi="Cambria Italic"/>
          <w:rtl w:val="0"/>
          <w:lang w:val="en-US"/>
        </w:rPr>
        <w:t>Any advocacy of national, racial or religious hatred that constitutes incitement to discrimination, hostility or violence shall be prohibited by law.</w:t>
      </w:r>
      <w:r>
        <w:rPr>
          <w:rFonts w:ascii="Cambria Italic" w:hAnsi="Cambria Italic" w:hint="default"/>
          <w:rtl w:val="0"/>
          <w:lang w:val="en-US"/>
        </w:rPr>
        <w:t>”</w:t>
      </w:r>
      <w:r>
        <w:rPr>
          <w:rtl w:val="0"/>
          <w:lang w:val="en-US"/>
        </w:rPr>
        <w:t xml:space="preserve"> This is a clear obligation for states to legally prohibit </w:t>
      </w:r>
      <w:r>
        <w:rPr>
          <w:rFonts w:ascii="Cambria Bold" w:hAnsi="Cambria Bold"/>
          <w:rtl w:val="0"/>
          <w:lang w:val="en-US"/>
        </w:rPr>
        <w:t>incitement to national hatred</w:t>
      </w:r>
      <w:r>
        <w:rPr>
          <w:rtl w:val="0"/>
          <w:lang w:val="en-US"/>
        </w:rPr>
        <w:t>. Statements like Khachatryan</w:t>
      </w:r>
      <w:r>
        <w:rPr>
          <w:rtl w:val="0"/>
          <w:lang w:val="en-US"/>
        </w:rPr>
        <w:t>’</w:t>
      </w:r>
      <w:r>
        <w:rPr>
          <w:rtl w:val="0"/>
          <w:lang w:val="en-US"/>
        </w:rPr>
        <w:t xml:space="preserve">s meet this definition and </w:t>
      </w:r>
      <w:r>
        <w:rPr>
          <w:rFonts w:ascii="Cambria Bold" w:hAnsi="Cambria Bold"/>
          <w:rtl w:val="0"/>
          <w:lang w:val="en-US"/>
        </w:rPr>
        <w:t>must be sanctioned by law</w:t>
      </w:r>
      <w:r>
        <w:rPr>
          <w:rtl w:val="0"/>
          <w:lang w:val="en-US"/>
        </w:rPr>
        <w:t>. A failure to respond would violate the state</w:t>
      </w:r>
      <w:r>
        <w:rPr>
          <w:rtl w:val="0"/>
          <w:lang w:val="en-US"/>
        </w:rPr>
        <w:t>’</w:t>
      </w:r>
      <w:r>
        <w:rPr>
          <w:rtl w:val="0"/>
          <w:lang w:val="en-US"/>
        </w:rPr>
        <w:t>s obligations under the ICCPR.</w:t>
      </w:r>
    </w:p>
    <w:p>
      <w:pPr>
        <w:pStyle w:val="Body Text"/>
      </w:pPr>
      <w:r>
        <w:rPr>
          <w:rFonts w:ascii="Cambria Bold" w:hAnsi="Cambria Bold"/>
          <w:rtl w:val="0"/>
          <w:lang w:val="en-US"/>
        </w:rPr>
        <w:t>International Convention on the Elimination of All Forms of Racial Discrimination</w:t>
      </w:r>
      <w:r>
        <w:rPr>
          <w:rtl w:val="0"/>
          <w:lang w:val="en-US"/>
        </w:rPr>
        <w:t xml:space="preserve"> (ICERD)</w:t>
      </w:r>
      <w:r>
        <w:rPr>
          <w:rStyle w:val="Footnote Reference"/>
          <w:rFonts w:ascii="Cambria" w:cs="Cambria" w:hAnsi="Cambria" w:eastAsia="Cambria"/>
          <w:b w:val="0"/>
          <w:bCs w:val="0"/>
          <w:i w:val="0"/>
          <w:iCs w:val="0"/>
        </w:rPr>
        <w:footnoteReference w:id="22"/>
      </w:r>
      <w:r>
        <w:rPr>
          <w:rtl w:val="0"/>
          <w:lang w:val="en-US"/>
        </w:rPr>
        <w:t xml:space="preserve">: Armenia has ratified this convention as well. </w:t>
      </w:r>
      <w:r>
        <w:rPr>
          <w:rFonts w:ascii="Cambria Bold" w:hAnsi="Cambria Bold"/>
          <w:rtl w:val="0"/>
          <w:lang w:val="en-US"/>
        </w:rPr>
        <w:t>Article 4 of ICERD</w:t>
      </w:r>
      <w:r>
        <w:rPr>
          <w:rtl w:val="0"/>
          <w:lang w:val="en-US"/>
        </w:rPr>
        <w:t xml:space="preserve"> requires states to criminalize all dissemination of ideas based on racial superiority or hatred and to </w:t>
      </w:r>
      <w:r>
        <w:rPr>
          <w:rFonts w:ascii="Cambria Bold" w:hAnsi="Cambria Bold"/>
          <w:rtl w:val="0"/>
          <w:lang w:val="en-US"/>
        </w:rPr>
        <w:t>prohibit public authorities or institutions from promoting racial discrimination</w:t>
      </w:r>
      <w:r>
        <w:rPr>
          <w:rtl w:val="0"/>
          <w:lang w:val="en-US"/>
        </w:rPr>
        <w:t xml:space="preserve">. Thus, the state must </w:t>
      </w:r>
      <w:r>
        <w:rPr>
          <w:rFonts w:ascii="Cambria Bold" w:hAnsi="Cambria Bold"/>
          <w:rtl w:val="0"/>
          <w:lang w:val="en-US"/>
        </w:rPr>
        <w:t>condemn and punish</w:t>
      </w:r>
      <w:r>
        <w:rPr>
          <w:rtl w:val="0"/>
          <w:lang w:val="en-US"/>
        </w:rPr>
        <w:t xml:space="preserve"> public expressions of racial/ethnic hatred. The UN Committee on the Elimination of Racial Discrimination (ICERD monitoring body) emphasizes that </w:t>
      </w:r>
      <w:r>
        <w:rPr>
          <w:rFonts w:ascii="Cambria Italic" w:hAnsi="Cambria Italic"/>
          <w:rtl w:val="0"/>
          <w:lang w:val="en-US"/>
        </w:rPr>
        <w:t>xenophobic speech by officials is especially dangerous</w:t>
      </w:r>
      <w:r>
        <w:rPr>
          <w:rtl w:val="0"/>
          <w:lang w:val="en-US"/>
        </w:rPr>
        <w:t xml:space="preserve"> and must be addressed promptly (including removal or prosecution of the individual).</w:t>
      </w:r>
    </w:p>
    <w:p>
      <w:pPr>
        <w:pStyle w:val="Body Text"/>
      </w:pPr>
      <w:r>
        <w:rPr>
          <w:rFonts w:ascii="Cambria Bold" w:hAnsi="Cambria Bold"/>
          <w:rtl w:val="0"/>
          <w:lang w:val="en-US"/>
        </w:rPr>
        <w:t>Other UN Instruments:</w:t>
      </w:r>
      <w:r>
        <w:rPr>
          <w:rtl w:val="0"/>
          <w:lang w:val="en-US"/>
        </w:rPr>
        <w:t xml:space="preserve"> The UN Human Rights Council and General Assembly have frequently called on states to combat </w:t>
      </w:r>
      <w:r>
        <w:rPr>
          <w:rFonts w:ascii="Cambria Bold" w:hAnsi="Cambria Bold"/>
          <w:rtl w:val="0"/>
          <w:lang w:val="en-US"/>
        </w:rPr>
        <w:t>hate speech</w:t>
      </w:r>
      <w:r>
        <w:rPr>
          <w:rtl w:val="0"/>
          <w:lang w:val="en-US"/>
        </w:rPr>
        <w:t>. The UN Special Rapporteur on Minority Issues</w:t>
      </w:r>
      <w:r>
        <w:rPr>
          <w:rStyle w:val="Footnote Reference"/>
          <w:rFonts w:ascii="Cambria" w:cs="Cambria" w:hAnsi="Cambria" w:eastAsia="Cambria"/>
          <w:b w:val="0"/>
          <w:bCs w:val="0"/>
          <w:i w:val="0"/>
          <w:iCs w:val="0"/>
        </w:rPr>
        <w:footnoteReference w:id="23"/>
      </w:r>
      <w:r>
        <w:rPr>
          <w:rtl w:val="0"/>
          <w:lang w:val="en-US"/>
        </w:rPr>
        <w:t xml:space="preserve"> has urged countries to adopt hate speech laws balanced with free speech protections. Armenia, presenting itself as a defender of minority rights, must now demonstrate its </w:t>
      </w:r>
      <w:r>
        <w:rPr>
          <w:rFonts w:ascii="Cambria Bold" w:hAnsi="Cambria Bold"/>
          <w:rtl w:val="0"/>
          <w:lang w:val="en-US"/>
        </w:rPr>
        <w:t>commitment to these principles</w:t>
      </w:r>
      <w:r>
        <w:rPr>
          <w:rtl w:val="0"/>
          <w:lang w:val="en-US"/>
        </w:rPr>
        <w:t>.</w:t>
      </w:r>
    </w:p>
    <w:p>
      <w:pPr>
        <w:pStyle w:val="Body"/>
      </w:pPr>
      <w:r>
        <mc:AlternateContent>
          <mc:Choice Requires="wps">
            <w:drawing xmlns:a="http://schemas.openxmlformats.org/drawingml/2006/main">
              <wp:inline distT="0" distB="0" distL="0" distR="0">
                <wp:extent cx="5943600" cy="19050"/>
                <wp:effectExtent l="0" t="0" r="0" b="0"/>
                <wp:docPr id="1073741833" name="officeArt object" descr="Rectangle"/>
                <wp:cNvGraphicFramePr/>
                <a:graphic xmlns:a="http://schemas.openxmlformats.org/drawingml/2006/main">
                  <a:graphicData uri="http://schemas.microsoft.com/office/word/2010/wordprocessingShape">
                    <wps:wsp>
                      <wps:cNvSpPr/>
                      <wps:spPr>
                        <a:xfrm>
                          <a:off x="0" y="0"/>
                          <a:ext cx="5943600" cy="19050"/>
                        </a:xfrm>
                        <a:prstGeom prst="rect">
                          <a:avLst/>
                        </a:prstGeom>
                        <a:solidFill>
                          <a:srgbClr val="FFFFFF"/>
                        </a:solidFill>
                        <a:ln w="9525" cap="flat">
                          <a:solidFill>
                            <a:srgbClr val="000000"/>
                          </a:solidFill>
                          <a:prstDash val="solid"/>
                          <a:round/>
                        </a:ln>
                        <a:effectLst/>
                      </wps:spPr>
                      <wps:bodyPr/>
                    </wps:wsp>
                  </a:graphicData>
                </a:graphic>
              </wp:inline>
            </w:drawing>
          </mc:Choice>
          <mc:Fallback>
            <w:pict>
              <v:rect id="_x0000_s1034" style="visibility:visible;width:468.0pt;height:1.5pt;">
                <v:fill color="#FFFFFF" opacity="100.0%" type="solid"/>
                <v:stroke filltype="solid" color="#000000" opacity="100.0%" weight="0.8pt" dashstyle="solid" endcap="flat" joinstyle="round" linestyle="single" startarrow="none" startarrowwidth="medium" startarrowlength="medium" endarrow="none" endarrowwidth="medium" endarrowlength="medium"/>
              </v:rect>
            </w:pict>
          </mc:Fallback>
        </mc:AlternateContent>
      </w:r>
      <w:bookmarkEnd w:id="10"/>
    </w:p>
    <w:p>
      <w:pPr>
        <w:pStyle w:val="Heading 2"/>
      </w:pPr>
      <w:bookmarkStart w:name="Xf280e73d590fb781b6eac8cd321759e061fab7c" w:id="11"/>
      <w:r>
        <w:rPr>
          <w:rFonts w:cs="Arial Unicode MS" w:eastAsia="Arial Unicode MS"/>
          <w:rtl w:val="0"/>
          <w:lang w:val="en-US"/>
        </w:rPr>
        <w:t>3. Violation of Ethical Standards of Public Conduct by Officials</w:t>
      </w:r>
    </w:p>
    <w:p>
      <w:pPr>
        <w:pStyle w:val="First Paragraph"/>
      </w:pPr>
      <w:r>
        <w:rPr>
          <w:rtl w:val="0"/>
          <w:lang w:val="en-US"/>
        </w:rPr>
        <w:t>Even setting aside strict legal norms, Ani Khachatryan</w:t>
      </w:r>
      <w:r>
        <w:rPr>
          <w:rtl w:val="0"/>
          <w:lang w:val="en-US"/>
        </w:rPr>
        <w:t>’</w:t>
      </w:r>
      <w:r>
        <w:rPr>
          <w:rtl w:val="0"/>
          <w:lang w:val="en-US"/>
        </w:rPr>
        <w:t xml:space="preserve">s behavior violated fundamental </w:t>
      </w:r>
      <w:r>
        <w:rPr>
          <w:rFonts w:ascii="Cambria Bold" w:hAnsi="Cambria Bold"/>
          <w:rtl w:val="0"/>
          <w:lang w:val="en-US"/>
        </w:rPr>
        <w:t>ethical standards</w:t>
      </w:r>
      <w:r>
        <w:rPr>
          <w:rtl w:val="0"/>
          <w:lang w:val="en-US"/>
        </w:rPr>
        <w:t xml:space="preserve"> expected of individuals vested with public authority:</w:t>
      </w:r>
    </w:p>
    <w:p>
      <w:pPr>
        <w:pStyle w:val="Body Text"/>
      </w:pPr>
      <w:r>
        <w:rPr>
          <w:rtl w:val="0"/>
          <w:lang w:val="en-US"/>
        </w:rPr>
        <w:t xml:space="preserve">• </w:t>
      </w:r>
      <w:r>
        <w:rPr>
          <w:rFonts w:ascii="Cambria Bold" w:hAnsi="Cambria Bold"/>
          <w:rtl w:val="0"/>
          <w:lang w:val="en-US"/>
        </w:rPr>
        <w:t>Principle of Impartiality and Equal Treatment:</w:t>
      </w:r>
      <w:r>
        <w:rPr>
          <w:rtl w:val="0"/>
          <w:lang w:val="en-US"/>
        </w:rPr>
        <w:t xml:space="preserve"> Public officials (municipal deputies, civil servants) are obliged to treat all residents impartially, regardless of their origin. The ethics of public service require </w:t>
      </w:r>
      <w:r>
        <w:rPr>
          <w:rFonts w:ascii="Cambria Bold" w:hAnsi="Cambria Bold"/>
          <w:rtl w:val="0"/>
          <w:lang w:val="en-US"/>
        </w:rPr>
        <w:t>avoiding prejudice</w:t>
      </w:r>
      <w:r>
        <w:rPr>
          <w:rtl w:val="0"/>
          <w:lang w:val="en-US"/>
        </w:rPr>
        <w:t xml:space="preserve">. Khachatryan clearly demonstrated </w:t>
      </w:r>
      <w:r>
        <w:rPr>
          <w:rFonts w:ascii="Cambria Bold" w:hAnsi="Cambria Bold"/>
          <w:rtl w:val="0"/>
          <w:lang w:val="en-US"/>
        </w:rPr>
        <w:t>ethnic bias</w:t>
      </w:r>
      <w:r>
        <w:rPr>
          <w:rtl w:val="0"/>
          <w:lang w:val="en-US"/>
        </w:rPr>
        <w:t xml:space="preserve"> by labeling a specific group (</w:t>
      </w:r>
      <w:r>
        <w:rPr>
          <w:rtl w:val="0"/>
          <w:lang w:val="en-US"/>
        </w:rPr>
        <w:t>“</w:t>
      </w:r>
      <w:r>
        <w:rPr>
          <w:rtl w:val="0"/>
          <w:lang w:val="en-US"/>
        </w:rPr>
        <w:t>Russians</w:t>
      </w:r>
      <w:r>
        <w:rPr>
          <w:rtl w:val="0"/>
          <w:lang w:val="en-US"/>
        </w:rPr>
        <w:t>”</w:t>
      </w:r>
      <w:r>
        <w:rPr>
          <w:rtl w:val="0"/>
          <w:lang w:val="en-US"/>
        </w:rPr>
        <w:t xml:space="preserve">) as inferior. This contradicts her oath to serve the entire population and </w:t>
      </w:r>
      <w:r>
        <w:rPr>
          <w:rFonts w:ascii="Cambria Bold" w:hAnsi="Cambria Bold"/>
          <w:rtl w:val="0"/>
          <w:lang w:val="en-US"/>
        </w:rPr>
        <w:t>undermines public trust</w:t>
      </w:r>
      <w:r>
        <w:rPr>
          <w:rtl w:val="0"/>
          <w:lang w:val="en-US"/>
        </w:rPr>
        <w:t xml:space="preserve"> in the authorities. Such conduct reveals a </w:t>
      </w:r>
      <w:r>
        <w:rPr>
          <w:rFonts w:ascii="Cambria Bold" w:hAnsi="Cambria Bold"/>
          <w:rtl w:val="0"/>
          <w:lang w:val="en-US"/>
        </w:rPr>
        <w:t>xenophobic attitude</w:t>
      </w:r>
      <w:r>
        <w:rPr>
          <w:rtl w:val="0"/>
          <w:lang w:val="en-US"/>
        </w:rPr>
        <w:t>, which is unacceptable for a public figure.</w:t>
      </w:r>
    </w:p>
    <w:p>
      <w:pPr>
        <w:pStyle w:val="Body Text"/>
      </w:pPr>
      <w:r>
        <w:rPr>
          <w:rtl w:val="0"/>
          <w:lang w:val="en-US"/>
        </w:rPr>
        <w:t xml:space="preserve">• </w:t>
      </w:r>
      <w:r>
        <w:rPr>
          <w:rFonts w:ascii="Cambria Bold" w:hAnsi="Cambria Bold"/>
          <w:rtl w:val="0"/>
          <w:lang w:val="en-US"/>
        </w:rPr>
        <w:t>Principle of Respect and Proper Conduct:</w:t>
      </w:r>
      <w:r>
        <w:rPr>
          <w:rtl w:val="0"/>
          <w:lang w:val="en-US"/>
        </w:rPr>
        <w:t xml:space="preserve"> As mentioned earlier, Armenia</w:t>
      </w:r>
      <w:r>
        <w:rPr>
          <w:rtl w:val="0"/>
          <w:lang w:val="en-US"/>
        </w:rPr>
        <w:t>’</w:t>
      </w:r>
      <w:r>
        <w:rPr>
          <w:rtl w:val="0"/>
          <w:lang w:val="en-US"/>
        </w:rPr>
        <w:t xml:space="preserve">s Law on Public Service obliges officials to act with restraint and respect. International standards also emphasize that politicians and public officials should shape public discourse by demonstrating tolerance. For example, the </w:t>
      </w:r>
      <w:r>
        <w:rPr>
          <w:rFonts w:ascii="Cambria Bold" w:hAnsi="Cambria Bold"/>
          <w:rtl w:val="0"/>
          <w:lang w:val="en-US"/>
        </w:rPr>
        <w:t>Code of Conduct for Civil Servants</w:t>
      </w:r>
      <w:r>
        <w:rPr>
          <w:rtl w:val="0"/>
          <w:lang w:val="en-US"/>
        </w:rPr>
        <w:t xml:space="preserve"> (a model code endorsed by the Armenian Government with Council of Europe support) states that an official must show politeness, tact, and respect to all citizens at all times. Publicly insulting a group of people is a direct violation of these tenets. This can be considered an </w:t>
      </w:r>
      <w:r>
        <w:rPr>
          <w:rFonts w:ascii="Cambria Bold" w:hAnsi="Cambria Bold"/>
          <w:rtl w:val="0"/>
          <w:lang w:val="en-US"/>
        </w:rPr>
        <w:t>ethical offense</w:t>
      </w:r>
      <w:r>
        <w:rPr>
          <w:rtl w:val="0"/>
          <w:lang w:val="en-US"/>
        </w:rPr>
        <w:t xml:space="preserve"> that discredits the office of a Council of Elders member.</w:t>
      </w:r>
    </w:p>
    <w:p>
      <w:pPr>
        <w:pStyle w:val="Body Text"/>
      </w:pPr>
      <w:r>
        <w:rPr>
          <w:rtl w:val="0"/>
          <w:lang w:val="en-US"/>
        </w:rPr>
        <w:t xml:space="preserve">• </w:t>
      </w:r>
      <w:r>
        <w:rPr>
          <w:rFonts w:ascii="Cambria Bold" w:hAnsi="Cambria Bold"/>
          <w:rtl w:val="0"/>
          <w:lang w:val="en-US"/>
        </w:rPr>
        <w:t>Dignity of Office:</w:t>
      </w:r>
      <w:r>
        <w:rPr>
          <w:rtl w:val="0"/>
          <w:lang w:val="en-US"/>
        </w:rPr>
        <w:t xml:space="preserve"> Officeholders are expected to maintain a certain level of decorum. There is an unspoken rule that </w:t>
      </w:r>
      <w:r>
        <w:rPr>
          <w:rFonts w:ascii="Cambria Bold" w:hAnsi="Cambria Bold"/>
          <w:rtl w:val="0"/>
          <w:lang w:val="en-US"/>
        </w:rPr>
        <w:t>hate speech and vulgarity are incompatible with the status of an elected representative</w:t>
      </w:r>
      <w:r>
        <w:rPr>
          <w:rtl w:val="0"/>
          <w:lang w:val="en-US"/>
        </w:rPr>
        <w:t xml:space="preserve">. Public response (such as the open letter by the Armenian Global Community) emphasized that if such actions go unpunished, it would signify tacit approval by the authorities. Ethical norms dictate that in such cases, a public apology is the minimum expected. Civil society has called on Ani Khachatryan to </w:t>
      </w:r>
      <w:r>
        <w:rPr>
          <w:rFonts w:ascii="Cambria Bold" w:hAnsi="Cambria Bold"/>
          <w:rtl w:val="0"/>
          <w:lang w:val="en-US"/>
        </w:rPr>
        <w:t>apologize to the offended citizens</w:t>
      </w:r>
      <w:r>
        <w:rPr>
          <w:rtl w:val="0"/>
          <w:lang w:val="en-US"/>
        </w:rPr>
        <w:t>, which would reflect proper etiquette and ethics. As of now, there has been no public apology, further highlighting the breach of ethical standards.</w:t>
      </w:r>
    </w:p>
    <w:p>
      <w:pPr>
        <w:pStyle w:val="Body Text"/>
      </w:pPr>
      <w:r>
        <w:rPr>
          <w:rtl w:val="0"/>
          <w:lang w:val="en-US"/>
        </w:rPr>
        <w:t xml:space="preserve">• </w:t>
      </w:r>
      <w:r>
        <w:rPr>
          <w:rFonts w:ascii="Cambria Bold" w:hAnsi="Cambria Bold"/>
          <w:rtl w:val="0"/>
          <w:lang w:val="en-US"/>
        </w:rPr>
        <w:t>Ethics Codes and Oversight Bodies:</w:t>
      </w:r>
      <w:r>
        <w:rPr>
          <w:rtl w:val="0"/>
          <w:lang w:val="en-US"/>
        </w:rPr>
        <w:t xml:space="preserve"> In Armenia, the </w:t>
      </w:r>
      <w:r>
        <w:rPr>
          <w:rFonts w:ascii="Cambria Bold" w:hAnsi="Cambria Bold"/>
          <w:rtl w:val="0"/>
          <w:lang w:val="en-US"/>
        </w:rPr>
        <w:t>Corruption Prevention Commission (CPC)</w:t>
      </w:r>
      <w:r>
        <w:rPr>
          <w:rStyle w:val="Footnote Reference"/>
          <w:rFonts w:ascii="Cambria" w:cs="Cambria" w:hAnsi="Cambria" w:eastAsia="Cambria"/>
          <w:b w:val="0"/>
          <w:bCs w:val="0"/>
          <w:i w:val="0"/>
          <w:iCs w:val="0"/>
        </w:rPr>
        <w:footnoteReference w:id="24"/>
      </w:r>
      <w:r>
        <w:rPr>
          <w:rtl w:val="0"/>
          <w:lang w:val="en-US"/>
        </w:rPr>
        <w:t xml:space="preserve"> has been responsible for monitoring the ethical conduct of high-ranking officials since 2018. The CPC may review complaints regarding ethical violations, though its sanctions are limited (usually warnings or official opinions, which can lead to political consequences). In Khachatryan</w:t>
      </w:r>
      <w:r>
        <w:rPr>
          <w:rtl w:val="0"/>
          <w:lang w:val="en-US"/>
        </w:rPr>
        <w:t>’</w:t>
      </w:r>
      <w:r>
        <w:rPr>
          <w:rtl w:val="0"/>
          <w:lang w:val="en-US"/>
        </w:rPr>
        <w:t xml:space="preserve">s case, the ethical concerns are even more acute, given that </w:t>
      </w:r>
      <w:r>
        <w:rPr>
          <w:rFonts w:ascii="Cambria Bold" w:hAnsi="Cambria Bold"/>
          <w:rtl w:val="0"/>
          <w:lang w:val="en-US"/>
        </w:rPr>
        <w:t>interethnic relations</w:t>
      </w:r>
      <w:r>
        <w:rPr>
          <w:rtl w:val="0"/>
          <w:lang w:val="en-US"/>
        </w:rPr>
        <w:t xml:space="preserve"> are at stake. From an ethical perspective, her statements are incompatible with the </w:t>
      </w:r>
      <w:r>
        <w:rPr>
          <w:rFonts w:ascii="Cambria Bold" w:hAnsi="Cambria Bold"/>
          <w:rtl w:val="0"/>
          <w:lang w:val="en-US"/>
        </w:rPr>
        <w:t>principle of tolerance</w:t>
      </w:r>
      <w:r>
        <w:rPr>
          <w:rtl w:val="0"/>
          <w:lang w:val="en-US"/>
        </w:rPr>
        <w:t xml:space="preserve"> expected from public officials.</w:t>
      </w:r>
    </w:p>
    <w:p>
      <w:pPr>
        <w:pStyle w:val="Body Text"/>
      </w:pPr>
      <w:r>
        <w:rPr>
          <w:rtl w:val="0"/>
          <w:lang w:val="en-US"/>
        </w:rPr>
        <w:t xml:space="preserve">• </w:t>
      </w:r>
      <w:r>
        <w:rPr>
          <w:rFonts w:ascii="Cambria Bold" w:hAnsi="Cambria Bold"/>
          <w:rtl w:val="0"/>
          <w:lang w:val="en-US"/>
        </w:rPr>
        <w:t>Reputation of the State:</w:t>
      </w:r>
      <w:r>
        <w:rPr>
          <w:rtl w:val="0"/>
          <w:lang w:val="en-US"/>
        </w:rPr>
        <w:t xml:space="preserve"> When an official from the capital city makes xenophobic remarks, it tarnishes not only her personal image but also the reputation of Armenian authorities. Ethical standards of public behavior require consideration of the </w:t>
      </w:r>
      <w:r>
        <w:rPr>
          <w:rFonts w:ascii="Cambria Bold" w:hAnsi="Cambria Bold"/>
          <w:rtl w:val="0"/>
          <w:lang w:val="en-US"/>
        </w:rPr>
        <w:t>external impact</w:t>
      </w:r>
      <w:r>
        <w:rPr>
          <w:rtl w:val="0"/>
          <w:lang w:val="en-US"/>
        </w:rPr>
        <w:t>: Khachatryan</w:t>
      </w:r>
      <w:r>
        <w:rPr>
          <w:rtl w:val="0"/>
          <w:lang w:val="en-US"/>
        </w:rPr>
        <w:t>’</w:t>
      </w:r>
      <w:r>
        <w:rPr>
          <w:rtl w:val="0"/>
          <w:lang w:val="en-US"/>
        </w:rPr>
        <w:t>s comments toward Russian citizens may strain intercommunal relations and paint Armenia as an intolerant environment. This contradicts the country</w:t>
      </w:r>
      <w:r>
        <w:rPr>
          <w:rtl w:val="0"/>
          <w:lang w:val="en-US"/>
        </w:rPr>
        <w:t>’</w:t>
      </w:r>
      <w:r>
        <w:rPr>
          <w:rtl w:val="0"/>
          <w:lang w:val="en-US"/>
        </w:rPr>
        <w:t xml:space="preserve">s official stance, which promotes interethnic friendship and the protection of minority rights. From the perspective of </w:t>
      </w:r>
      <w:r>
        <w:rPr>
          <w:rFonts w:ascii="Cambria Bold" w:hAnsi="Cambria Bold"/>
          <w:rtl w:val="0"/>
          <w:lang w:val="en-US"/>
        </w:rPr>
        <w:t>professional ethics</w:t>
      </w:r>
      <w:r>
        <w:rPr>
          <w:rtl w:val="0"/>
          <w:lang w:val="en-US"/>
        </w:rPr>
        <w:t>, Khachatryan also violated the principle of loyalty to national interests by jeopardizing the reputation of the city and the country.</w:t>
      </w:r>
    </w:p>
    <w:p>
      <w:pPr>
        <w:pStyle w:val="Body"/>
      </w:pPr>
      <w:r>
        <mc:AlternateContent>
          <mc:Choice Requires="wps">
            <w:drawing xmlns:a="http://schemas.openxmlformats.org/drawingml/2006/main">
              <wp:inline distT="0" distB="0" distL="0" distR="0">
                <wp:extent cx="5943600" cy="19050"/>
                <wp:effectExtent l="0" t="0" r="0" b="0"/>
                <wp:docPr id="1073741834" name="officeArt object" descr="Rectangle"/>
                <wp:cNvGraphicFramePr/>
                <a:graphic xmlns:a="http://schemas.openxmlformats.org/drawingml/2006/main">
                  <a:graphicData uri="http://schemas.microsoft.com/office/word/2010/wordprocessingShape">
                    <wps:wsp>
                      <wps:cNvSpPr/>
                      <wps:spPr>
                        <a:xfrm>
                          <a:off x="0" y="0"/>
                          <a:ext cx="5943600" cy="19050"/>
                        </a:xfrm>
                        <a:prstGeom prst="rect">
                          <a:avLst/>
                        </a:prstGeom>
                        <a:solidFill>
                          <a:srgbClr val="FFFFFF"/>
                        </a:solidFill>
                        <a:ln w="9525" cap="flat">
                          <a:solidFill>
                            <a:srgbClr val="000000"/>
                          </a:solidFill>
                          <a:prstDash val="solid"/>
                          <a:round/>
                        </a:ln>
                        <a:effectLst/>
                      </wps:spPr>
                      <wps:bodyPr/>
                    </wps:wsp>
                  </a:graphicData>
                </a:graphic>
              </wp:inline>
            </w:drawing>
          </mc:Choice>
          <mc:Fallback>
            <w:pict>
              <v:rect id="_x0000_s1035" style="visibility:visible;width:468.0pt;height:1.5pt;">
                <v:fill color="#FFFFFF" opacity="100.0%" type="solid"/>
                <v:stroke filltype="solid" color="#000000" opacity="100.0%" weight="0.8pt" dashstyle="solid" endcap="flat" joinstyle="round" linestyle="single" startarrow="none" startarrowwidth="medium" startarrowlength="medium" endarrow="none" endarrowwidth="medium" endarrowlength="medium"/>
              </v:rect>
            </w:pict>
          </mc:Fallback>
        </mc:AlternateContent>
      </w:r>
      <w:bookmarkEnd w:id="11"/>
    </w:p>
    <w:sectPr>
      <w:headerReference w:type="default" r:id="rId4"/>
      <w:footerReference w:type="default" r:id="rId5"/>
      <w:pgSz w:w="12240" w:h="14240" w:orient="portrait"/>
      <w:pgMar w:top="1440" w:right="1440" w:bottom="1440" w:left="1440" w:header="720" w:footer="72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Calibri">
    <w:charset w:val="00"/>
    <w:family w:val="roman"/>
    <w:pitch w:val="default"/>
  </w:font>
  <w:font w:name="Cambria">
    <w:charset w:val="00"/>
    <w:family w:val="roman"/>
    <w:pitch w:val="default"/>
  </w:font>
  <w:font w:name="Cambria Bold">
    <w:charset w:val="00"/>
    <w:family w:val="roman"/>
    <w:pitch w:val="default"/>
  </w:font>
  <w:font w:name="Cambria Italic">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footnotes.xml><?xml version="1.0" encoding="utf-8"?>
<w:footnotes xmlns:w="http://schemas.openxmlformats.org/wordprocessingml/2006/main" xmlns:r="http://schemas.openxmlformats.org/officeDocument/2006/relationships" xmlns:w14="http://schemas.microsoft.com/office/word/2010/wordml" xmlns:wp="http://schemas.openxmlformats.org/drawingml/2006/wordprocessingDrawing" xmlns:m="http://schemas.openxmlformats.org/officeDocument/2006/math">
  <w:footnote w:type="separator" w:id="-1">
    <w:p>
      <w:r>
        <w:separator/>
      </w:r>
    </w:p>
  </w:footnote>
  <w:footnote w:type="continuationSeparator" w:id="0">
    <w:p>
      <w:r>
        <w:continuationSeparator/>
      </w:r>
    </w:p>
  </w:footnote>
  <w:footnote w:type="continuationNotice" w:id="-2">
    <w:p>
      <w:r>
        <w:t/>
      </w:r>
    </w:p>
  </w:footnote>
  <w:footnote w:id="1">
    <w:p>
      <w:pPr>
        <w:pStyle w:val="Footnote Text"/>
      </w:pPr>
      <w:r>
        <w:rPr>
          <w:rStyle w:val="Footnote Reference"/>
        </w:rPr>
        <w:footnoteRef/>
      </w:r>
      <w:r>
        <w:rPr>
          <w:rFonts w:cs="Arial Unicode MS" w:eastAsia="Arial Unicode MS"/>
          <w:rtl w:val="0"/>
          <w:lang w:val="en-US"/>
        </w:rPr>
        <w:t xml:space="preserve"> Ani Khachatryan listed among members of the Council of Elders: </w:t>
      </w:r>
      <w:r>
        <w:rPr>
          <w:rStyle w:val="Hyperlink.0"/>
        </w:rPr>
        <w:fldChar w:fldCharType="begin" w:fldLock="0"/>
      </w:r>
      <w:r>
        <w:rPr>
          <w:rStyle w:val="Hyperlink.0"/>
        </w:rPr>
        <w:instrText xml:space="preserve"> HYPERLINK "https://www.yerevan.am/hy/alderman-staff/"</w:instrText>
      </w:r>
      <w:r>
        <w:rPr>
          <w:rStyle w:val="Hyperlink.0"/>
        </w:rPr>
        <w:fldChar w:fldCharType="separate" w:fldLock="0"/>
      </w:r>
      <w:r>
        <w:rPr>
          <w:rStyle w:val="Hyperlink.0"/>
          <w:rFonts w:cs="Arial Unicode MS" w:eastAsia="Arial Unicode MS"/>
          <w:rtl w:val="0"/>
        </w:rPr>
        <w:t>https://www.yerevan.am/hy/alderman-staff/</w:t>
      </w:r>
      <w:r>
        <w:rPr/>
        <w:fldChar w:fldCharType="end" w:fldLock="0"/>
      </w:r>
    </w:p>
  </w:footnote>
  <w:footnote w:id="2">
    <w:p>
      <w:pPr>
        <w:pStyle w:val="Footnote Text"/>
      </w:pPr>
      <w:r>
        <w:rPr>
          <w:rStyle w:val="Footnote Reference"/>
        </w:rPr>
        <w:footnoteRef/>
      </w:r>
      <w:r>
        <w:rPr>
          <w:rFonts w:cs="Arial Unicode MS" w:eastAsia="Arial Unicode MS"/>
          <w:rtl w:val="0"/>
          <w:lang w:val="en-US"/>
        </w:rPr>
        <w:t xml:space="preserve"> Protest footage (YouTube): </w:t>
      </w:r>
      <w:r>
        <w:rPr>
          <w:rStyle w:val="Hyperlink.0"/>
        </w:rPr>
        <w:fldChar w:fldCharType="begin" w:fldLock="0"/>
      </w:r>
      <w:r>
        <w:rPr>
          <w:rStyle w:val="Hyperlink.0"/>
        </w:rPr>
        <w:instrText xml:space="preserve"> HYPERLINK "https://www.youtube.com/live/3hmfBkqoC6A?t=460"</w:instrText>
      </w:r>
      <w:r>
        <w:rPr>
          <w:rStyle w:val="Hyperlink.0"/>
        </w:rPr>
        <w:fldChar w:fldCharType="separate" w:fldLock="0"/>
      </w:r>
      <w:r>
        <w:rPr>
          <w:rStyle w:val="Hyperlink.0"/>
          <w:rFonts w:cs="Arial Unicode MS" w:eastAsia="Arial Unicode MS"/>
          <w:rtl w:val="0"/>
        </w:rPr>
        <w:t>https://www.youtube.com/live/3hmfBkqoC6A?t=460</w:t>
      </w:r>
      <w:r>
        <w:rPr/>
        <w:fldChar w:fldCharType="end" w:fldLock="0"/>
      </w:r>
    </w:p>
  </w:footnote>
  <w:footnote w:id="3">
    <w:p>
      <w:pPr>
        <w:pStyle w:val="Footnote Text"/>
      </w:pPr>
      <w:r>
        <w:rPr>
          <w:rStyle w:val="Footnote Reference"/>
        </w:rPr>
        <w:footnoteRef/>
      </w:r>
      <w:r>
        <w:rPr>
          <w:rFonts w:cs="Arial Unicode MS" w:eastAsia="Arial Unicode MS"/>
          <w:rtl w:val="0"/>
          <w:lang w:val="en-US"/>
        </w:rPr>
        <w:t xml:space="preserve"> Constitution of the Republic of Armenia (2015): </w:t>
      </w:r>
      <w:r>
        <w:rPr>
          <w:rStyle w:val="Hyperlink.0"/>
        </w:rPr>
        <w:fldChar w:fldCharType="begin" w:fldLock="0"/>
      </w:r>
      <w:r>
        <w:rPr>
          <w:rStyle w:val="Hyperlink.0"/>
        </w:rPr>
        <w:instrText xml:space="preserve"> HYPERLINK "https://www.president.am/hy/constitution-2015/"</w:instrText>
      </w:r>
      <w:r>
        <w:rPr>
          <w:rStyle w:val="Hyperlink.0"/>
        </w:rPr>
        <w:fldChar w:fldCharType="separate" w:fldLock="0"/>
      </w:r>
      <w:r>
        <w:rPr>
          <w:rStyle w:val="Hyperlink.0"/>
          <w:rFonts w:cs="Arial Unicode MS" w:eastAsia="Arial Unicode MS"/>
          <w:rtl w:val="0"/>
        </w:rPr>
        <w:t>https://www.president.am/hy/constitution-2015/</w:t>
      </w:r>
      <w:r>
        <w:rPr/>
        <w:fldChar w:fldCharType="end" w:fldLock="0"/>
      </w:r>
    </w:p>
  </w:footnote>
  <w:footnote w:id="4">
    <w:p>
      <w:pPr>
        <w:pStyle w:val="Footnote Text"/>
      </w:pPr>
      <w:r>
        <w:rPr>
          <w:rStyle w:val="Footnote Reference"/>
        </w:rPr>
        <w:footnoteRef/>
      </w:r>
      <w:r>
        <w:rPr>
          <w:rFonts w:cs="Arial Unicode MS" w:eastAsia="Arial Unicode MS"/>
          <w:rtl w:val="0"/>
          <w:lang w:val="en-US"/>
        </w:rPr>
        <w:t xml:space="preserve"> Ibid.</w:t>
      </w:r>
    </w:p>
  </w:footnote>
  <w:footnote w:id="5">
    <w:p>
      <w:pPr>
        <w:pStyle w:val="Footnote Text"/>
      </w:pPr>
      <w:r>
        <w:rPr>
          <w:rStyle w:val="Footnote Reference"/>
        </w:rPr>
        <w:footnoteRef/>
      </w:r>
      <w:r>
        <w:rPr>
          <w:rFonts w:cs="Arial Unicode MS" w:eastAsia="Arial Unicode MS"/>
          <w:rtl w:val="0"/>
          <w:lang w:val="en-US"/>
        </w:rPr>
        <w:t xml:space="preserve"> Previous version of the RA Criminal Code: </w:t>
      </w:r>
      <w:r>
        <w:rPr>
          <w:rStyle w:val="Hyperlink.0"/>
        </w:rPr>
        <w:fldChar w:fldCharType="begin" w:fldLock="0"/>
      </w:r>
      <w:r>
        <w:rPr>
          <w:rStyle w:val="Hyperlink.0"/>
        </w:rPr>
        <w:instrText xml:space="preserve"> HYPERLINK "http://www.parliament.am/legislation.php?ID=1349&amp;lang=arm&amp;enc=utf8&amp;sel=show"</w:instrText>
      </w:r>
      <w:r>
        <w:rPr>
          <w:rStyle w:val="Hyperlink.0"/>
        </w:rPr>
        <w:fldChar w:fldCharType="separate" w:fldLock="0"/>
      </w:r>
      <w:r>
        <w:rPr>
          <w:rStyle w:val="Hyperlink.0"/>
          <w:rFonts w:cs="Arial Unicode MS" w:eastAsia="Arial Unicode MS"/>
          <w:rtl w:val="0"/>
        </w:rPr>
        <w:t>http://www.parliament.am/legislation.php?ID=1349&amp;lang=arm&amp;enc=utf8&amp;sel=show</w:t>
      </w:r>
      <w:r>
        <w:rPr/>
        <w:fldChar w:fldCharType="end" w:fldLock="0"/>
      </w:r>
    </w:p>
  </w:footnote>
  <w:footnote w:id="6">
    <w:p>
      <w:pPr>
        <w:pStyle w:val="Footnote Text"/>
      </w:pPr>
      <w:r>
        <w:rPr>
          <w:rStyle w:val="Footnote Reference"/>
        </w:rPr>
        <w:footnoteRef/>
      </w:r>
      <w:r>
        <w:rPr>
          <w:rFonts w:cs="Arial Unicode MS" w:eastAsia="Arial Unicode MS"/>
          <w:rtl w:val="0"/>
          <w:lang w:val="en-US"/>
        </w:rPr>
        <w:t xml:space="preserve"> RA Criminal Code (2022, current version): </w:t>
      </w:r>
      <w:r>
        <w:rPr>
          <w:rStyle w:val="Hyperlink.0"/>
        </w:rPr>
        <w:fldChar w:fldCharType="begin" w:fldLock="0"/>
      </w:r>
      <w:r>
        <w:rPr>
          <w:rStyle w:val="Hyperlink.0"/>
        </w:rPr>
        <w:instrText xml:space="preserve"> HYPERLINK "https://www.arlis.am/DocumentView.aspx?DocID=165138"</w:instrText>
      </w:r>
      <w:r>
        <w:rPr>
          <w:rStyle w:val="Hyperlink.0"/>
        </w:rPr>
        <w:fldChar w:fldCharType="separate" w:fldLock="0"/>
      </w:r>
      <w:r>
        <w:rPr>
          <w:rStyle w:val="Hyperlink.0"/>
          <w:rFonts w:cs="Arial Unicode MS" w:eastAsia="Arial Unicode MS"/>
          <w:rtl w:val="0"/>
        </w:rPr>
        <w:t>https://www.arlis.am/DocumentView.aspx?DocID=165138</w:t>
      </w:r>
      <w:r>
        <w:rPr/>
        <w:fldChar w:fldCharType="end" w:fldLock="0"/>
      </w:r>
    </w:p>
  </w:footnote>
  <w:footnote w:id="7">
    <w:p>
      <w:pPr>
        <w:pStyle w:val="Footnote Text"/>
      </w:pPr>
      <w:r>
        <w:rPr>
          <w:rStyle w:val="Footnote Reference"/>
        </w:rPr>
        <w:footnoteRef/>
      </w:r>
      <w:r>
        <w:rPr>
          <w:rFonts w:cs="Arial Unicode MS" w:eastAsia="Arial Unicode MS"/>
          <w:rtl w:val="0"/>
          <w:lang w:val="en-US"/>
        </w:rPr>
        <w:t xml:space="preserve"> Ibid.</w:t>
      </w:r>
    </w:p>
  </w:footnote>
  <w:footnote w:id="8">
    <w:p>
      <w:pPr>
        <w:pStyle w:val="Footnote Text"/>
      </w:pPr>
      <w:r>
        <w:rPr>
          <w:rStyle w:val="Footnote Reference"/>
        </w:rPr>
        <w:footnoteRef/>
      </w:r>
      <w:r>
        <w:rPr>
          <w:rFonts w:cs="Arial Unicode MS" w:eastAsia="Arial Unicode MS"/>
          <w:rtl w:val="0"/>
          <w:lang w:val="en-US"/>
        </w:rPr>
        <w:t xml:space="preserve"> Law </w:t>
      </w:r>
      <w:r>
        <w:rPr>
          <w:rFonts w:cs="Arial Unicode MS" w:eastAsia="Arial Unicode MS" w:hint="default"/>
          <w:rtl w:val="0"/>
          <w:lang w:val="en-US"/>
        </w:rPr>
        <w:t>“</w:t>
      </w:r>
      <w:r>
        <w:rPr>
          <w:rFonts w:cs="Arial Unicode MS" w:eastAsia="Arial Unicode MS"/>
          <w:rtl w:val="0"/>
          <w:lang w:val="en-US"/>
        </w:rPr>
        <w:t>On Public Service</w:t>
      </w:r>
      <w:r>
        <w:rPr>
          <w:rFonts w:cs="Arial Unicode MS" w:eastAsia="Arial Unicode MS" w:hint="default"/>
          <w:rtl w:val="0"/>
          <w:lang w:val="en-US"/>
        </w:rPr>
        <w:t>”</w:t>
      </w:r>
      <w:r>
        <w:rPr>
          <w:rFonts w:cs="Arial Unicode MS" w:eastAsia="Arial Unicode MS"/>
          <w:rtl w:val="0"/>
          <w:lang w:val="en-US"/>
        </w:rPr>
        <w:t xml:space="preserve">: </w:t>
      </w:r>
      <w:r>
        <w:rPr>
          <w:rStyle w:val="Hyperlink.0"/>
        </w:rPr>
        <w:fldChar w:fldCharType="begin" w:fldLock="0"/>
      </w:r>
      <w:r>
        <w:rPr>
          <w:rStyle w:val="Hyperlink.0"/>
        </w:rPr>
        <w:instrText xml:space="preserve"> HYPERLINK "http://www.parliament.am/legislation.php?sel=show&amp;ID=6272&amp;lang=arm&amp;enc=utf8"</w:instrText>
      </w:r>
      <w:r>
        <w:rPr>
          <w:rStyle w:val="Hyperlink.0"/>
        </w:rPr>
        <w:fldChar w:fldCharType="separate" w:fldLock="0"/>
      </w:r>
      <w:r>
        <w:rPr>
          <w:rStyle w:val="Hyperlink.0"/>
          <w:rFonts w:cs="Arial Unicode MS" w:eastAsia="Arial Unicode MS"/>
          <w:rtl w:val="0"/>
        </w:rPr>
        <w:t>http://www.parliament.am/legislation.php?sel=show&amp;ID=6272&amp;lang=arm&amp;enc=utf8</w:t>
      </w:r>
      <w:r>
        <w:rPr/>
        <w:fldChar w:fldCharType="end" w:fldLock="0"/>
      </w:r>
    </w:p>
  </w:footnote>
  <w:footnote w:id="9">
    <w:p>
      <w:pPr>
        <w:pStyle w:val="Footnote Text"/>
      </w:pPr>
      <w:r>
        <w:rPr>
          <w:rStyle w:val="Footnote Reference"/>
        </w:rPr>
        <w:footnoteRef/>
      </w:r>
      <w:r>
        <w:rPr>
          <w:rFonts w:cs="Arial Unicode MS" w:eastAsia="Arial Unicode MS"/>
          <w:rtl w:val="0"/>
          <w:lang w:val="en-US"/>
        </w:rPr>
        <w:t xml:space="preserve"> Constitution of the Republic of Armenia (2015): </w:t>
      </w:r>
      <w:r>
        <w:rPr>
          <w:rStyle w:val="Hyperlink.0"/>
        </w:rPr>
        <w:fldChar w:fldCharType="begin" w:fldLock="0"/>
      </w:r>
      <w:r>
        <w:rPr>
          <w:rStyle w:val="Hyperlink.0"/>
        </w:rPr>
        <w:instrText xml:space="preserve"> HYPERLINK "https://www.president.am/hy/constitution-2015/"</w:instrText>
      </w:r>
      <w:r>
        <w:rPr>
          <w:rStyle w:val="Hyperlink.0"/>
        </w:rPr>
        <w:fldChar w:fldCharType="separate" w:fldLock="0"/>
      </w:r>
      <w:r>
        <w:rPr>
          <w:rStyle w:val="Hyperlink.0"/>
          <w:rFonts w:cs="Arial Unicode MS" w:eastAsia="Arial Unicode MS"/>
          <w:rtl w:val="0"/>
        </w:rPr>
        <w:t>https://www.president.am/hy/constitution-2015/</w:t>
      </w:r>
      <w:r>
        <w:rPr/>
        <w:fldChar w:fldCharType="end" w:fldLock="0"/>
      </w:r>
    </w:p>
  </w:footnote>
  <w:footnote w:id="10">
    <w:p>
      <w:pPr>
        <w:pStyle w:val="Footnote Text"/>
      </w:pPr>
      <w:r>
        <w:rPr>
          <w:rStyle w:val="Footnote Reference"/>
        </w:rPr>
        <w:footnoteRef/>
      </w:r>
      <w:r>
        <w:rPr>
          <w:rFonts w:cs="Arial Unicode MS" w:eastAsia="Arial Unicode MS"/>
          <w:rtl w:val="0"/>
          <w:lang w:val="en-US"/>
        </w:rPr>
        <w:t xml:space="preserve"> Law </w:t>
      </w:r>
      <w:r>
        <w:rPr>
          <w:rFonts w:cs="Arial Unicode MS" w:eastAsia="Arial Unicode MS" w:hint="default"/>
          <w:rtl w:val="0"/>
          <w:lang w:val="en-US"/>
        </w:rPr>
        <w:t>“</w:t>
      </w:r>
      <w:r>
        <w:rPr>
          <w:rFonts w:cs="Arial Unicode MS" w:eastAsia="Arial Unicode MS"/>
          <w:rtl w:val="0"/>
          <w:lang w:val="en-US"/>
        </w:rPr>
        <w:t>On Freedom of Assembly</w:t>
      </w:r>
      <w:r>
        <w:rPr>
          <w:rFonts w:cs="Arial Unicode MS" w:eastAsia="Arial Unicode MS" w:hint="default"/>
          <w:rtl w:val="0"/>
          <w:lang w:val="en-US"/>
        </w:rPr>
        <w:t>”</w:t>
      </w:r>
      <w:r>
        <w:rPr>
          <w:rFonts w:cs="Arial Unicode MS" w:eastAsia="Arial Unicode MS"/>
          <w:rtl w:val="0"/>
          <w:lang w:val="en-US"/>
        </w:rPr>
        <w:t xml:space="preserve">: </w:t>
      </w:r>
      <w:r>
        <w:rPr>
          <w:rStyle w:val="Hyperlink.0"/>
        </w:rPr>
        <w:fldChar w:fldCharType="begin" w:fldLock="0"/>
      </w:r>
      <w:r>
        <w:rPr>
          <w:rStyle w:val="Hyperlink.0"/>
        </w:rPr>
        <w:instrText xml:space="preserve"> HYPERLINK "http://www.parliament.am/legislation.php?sel=show&amp;ID=4123&amp;lang=arm&amp;enc=utf8"</w:instrText>
      </w:r>
      <w:r>
        <w:rPr>
          <w:rStyle w:val="Hyperlink.0"/>
        </w:rPr>
        <w:fldChar w:fldCharType="separate" w:fldLock="0"/>
      </w:r>
      <w:r>
        <w:rPr>
          <w:rStyle w:val="Hyperlink.0"/>
          <w:rFonts w:cs="Arial Unicode MS" w:eastAsia="Arial Unicode MS"/>
          <w:rtl w:val="0"/>
        </w:rPr>
        <w:t>http://www.parliament.am/legislation.php?sel=show&amp;ID=4123&amp;lang=arm&amp;enc=utf8</w:t>
      </w:r>
      <w:r>
        <w:rPr/>
        <w:fldChar w:fldCharType="end" w:fldLock="0"/>
      </w:r>
    </w:p>
  </w:footnote>
  <w:footnote w:id="11">
    <w:p>
      <w:pPr>
        <w:pStyle w:val="Footnote Text"/>
      </w:pPr>
      <w:r>
        <w:rPr>
          <w:rStyle w:val="Footnote Reference"/>
        </w:rPr>
        <w:footnoteRef/>
      </w:r>
      <w:r>
        <w:rPr>
          <w:rFonts w:cs="Arial Unicode MS" w:eastAsia="Arial Unicode MS"/>
          <w:rtl w:val="0"/>
          <w:lang w:val="en-US"/>
        </w:rPr>
        <w:t xml:space="preserve"> Electoral Code of the Republic of Armenia: </w:t>
      </w:r>
      <w:r>
        <w:rPr>
          <w:rStyle w:val="Hyperlink.0"/>
        </w:rPr>
        <w:fldChar w:fldCharType="begin" w:fldLock="0"/>
      </w:r>
      <w:r>
        <w:rPr>
          <w:rStyle w:val="Hyperlink.0"/>
        </w:rPr>
        <w:instrText xml:space="preserve"> HYPERLINK "https://www.arlis.am/documentview.aspx?docid=105967"</w:instrText>
      </w:r>
      <w:r>
        <w:rPr>
          <w:rStyle w:val="Hyperlink.0"/>
        </w:rPr>
        <w:fldChar w:fldCharType="separate" w:fldLock="0"/>
      </w:r>
      <w:r>
        <w:rPr>
          <w:rStyle w:val="Hyperlink.0"/>
          <w:rFonts w:cs="Arial Unicode MS" w:eastAsia="Arial Unicode MS"/>
          <w:rtl w:val="0"/>
        </w:rPr>
        <w:t>https://www.arlis.am/documentview.aspx?docid=105967</w:t>
      </w:r>
      <w:r>
        <w:rPr/>
        <w:fldChar w:fldCharType="end" w:fldLock="0"/>
      </w:r>
    </w:p>
  </w:footnote>
  <w:footnote w:id="12">
    <w:p>
      <w:pPr>
        <w:pStyle w:val="Footnote Text"/>
      </w:pPr>
      <w:r>
        <w:rPr>
          <w:rStyle w:val="Footnote Reference"/>
        </w:rPr>
        <w:footnoteRef/>
      </w:r>
      <w:r>
        <w:rPr>
          <w:rFonts w:cs="Arial Unicode MS" w:eastAsia="Arial Unicode MS"/>
          <w:rtl w:val="0"/>
          <w:lang w:val="en-US"/>
        </w:rPr>
        <w:t xml:space="preserve"> Example of civic inclusion of Russian residents: </w:t>
      </w:r>
      <w:r>
        <w:rPr>
          <w:rStyle w:val="Hyperlink.0"/>
        </w:rPr>
        <w:fldChar w:fldCharType="begin" w:fldLock="0"/>
      </w:r>
      <w:r>
        <w:rPr>
          <w:rStyle w:val="Hyperlink.0"/>
        </w:rPr>
        <w:instrText xml:space="preserve"> HYPERLINK "https://abcmedia.am/norutyunner/13046/"</w:instrText>
      </w:r>
      <w:r>
        <w:rPr>
          <w:rStyle w:val="Hyperlink.0"/>
        </w:rPr>
        <w:fldChar w:fldCharType="separate" w:fldLock="0"/>
      </w:r>
      <w:r>
        <w:rPr>
          <w:rStyle w:val="Hyperlink.0"/>
          <w:rFonts w:cs="Arial Unicode MS" w:eastAsia="Arial Unicode MS"/>
          <w:rtl w:val="0"/>
        </w:rPr>
        <w:t>https://abcmedia.am/norutyunner/13046/</w:t>
      </w:r>
      <w:r>
        <w:rPr/>
        <w:fldChar w:fldCharType="end" w:fldLock="0"/>
      </w:r>
    </w:p>
  </w:footnote>
  <w:footnote w:id="13">
    <w:p>
      <w:pPr>
        <w:pStyle w:val="Footnote Text"/>
      </w:pPr>
      <w:r>
        <w:rPr>
          <w:rStyle w:val="Footnote Reference"/>
        </w:rPr>
        <w:footnoteRef/>
      </w:r>
      <w:r>
        <w:rPr>
          <w:rFonts w:cs="Arial Unicode MS" w:eastAsia="Arial Unicode MS"/>
          <w:rtl w:val="0"/>
          <w:lang w:val="en-US"/>
        </w:rPr>
        <w:t xml:space="preserve"> Ibid.</w:t>
      </w:r>
    </w:p>
  </w:footnote>
  <w:footnote w:id="14">
    <w:p>
      <w:pPr>
        <w:pStyle w:val="Footnote Text"/>
      </w:pPr>
      <w:r>
        <w:rPr>
          <w:rStyle w:val="Footnote Reference"/>
        </w:rPr>
        <w:footnoteRef/>
      </w:r>
      <w:r>
        <w:rPr>
          <w:rFonts w:cs="Arial Unicode MS" w:eastAsia="Arial Unicode MS"/>
          <w:rtl w:val="0"/>
          <w:lang w:val="en-US"/>
        </w:rPr>
        <w:t xml:space="preserve"> </w:t>
      </w:r>
      <w:r>
        <w:rPr>
          <w:rFonts w:ascii="Cambria Italic" w:hAnsi="Cambria Italic"/>
          <w:rtl w:val="0"/>
          <w:lang w:val="en-US"/>
        </w:rPr>
        <w:t>Erbakan v. Turkey</w:t>
      </w:r>
      <w:r>
        <w:rPr>
          <w:rFonts w:cs="Arial Unicode MS" w:eastAsia="Arial Unicode MS"/>
          <w:rtl w:val="0"/>
          <w:lang w:val="en-US"/>
        </w:rPr>
        <w:t xml:space="preserve">, ECtHR Case (2006): </w:t>
      </w:r>
      <w:r>
        <w:rPr>
          <w:rStyle w:val="Hyperlink.0"/>
        </w:rPr>
        <w:fldChar w:fldCharType="begin" w:fldLock="0"/>
      </w:r>
      <w:r>
        <w:rPr>
          <w:rStyle w:val="Hyperlink.0"/>
        </w:rPr>
        <w:instrText xml:space="preserve"> HYPERLINK "https://globalfreedomofexpression.columbia.edu/cases/erbakan-v-turkey/"</w:instrText>
      </w:r>
      <w:r>
        <w:rPr>
          <w:rStyle w:val="Hyperlink.0"/>
        </w:rPr>
        <w:fldChar w:fldCharType="separate" w:fldLock="0"/>
      </w:r>
      <w:r>
        <w:rPr>
          <w:rStyle w:val="Hyperlink.0"/>
          <w:rFonts w:cs="Arial Unicode MS" w:eastAsia="Arial Unicode MS"/>
          <w:rtl w:val="0"/>
        </w:rPr>
        <w:t>https://globalfreedomofexpression.columbia.edu/cases/erbakan-v-turkey/</w:t>
      </w:r>
      <w:r>
        <w:rPr/>
        <w:fldChar w:fldCharType="end" w:fldLock="0"/>
      </w:r>
    </w:p>
  </w:footnote>
  <w:footnote w:id="15">
    <w:p>
      <w:pPr>
        <w:pStyle w:val="Footnote Text"/>
      </w:pPr>
      <w:r>
        <w:rPr>
          <w:rStyle w:val="Footnote Reference"/>
        </w:rPr>
        <w:footnoteRef/>
      </w:r>
      <w:r>
        <w:rPr>
          <w:rFonts w:cs="Arial Unicode MS" w:eastAsia="Arial Unicode MS"/>
          <w:rtl w:val="0"/>
          <w:lang w:val="en-US"/>
        </w:rPr>
        <w:t xml:space="preserve"> </w:t>
      </w:r>
      <w:r>
        <w:rPr>
          <w:rFonts w:ascii="Cambria Italic" w:hAnsi="Cambria Italic"/>
          <w:rtl w:val="0"/>
          <w:lang w:val="en-US"/>
        </w:rPr>
        <w:t>Glimmerveen and Hagenbeek v. Netherlands</w:t>
      </w:r>
      <w:r>
        <w:rPr>
          <w:rFonts w:cs="Arial Unicode MS" w:eastAsia="Arial Unicode MS"/>
          <w:rtl w:val="0"/>
          <w:lang w:val="en-US"/>
        </w:rPr>
        <w:t xml:space="preserve">, EComHR (1979): </w:t>
      </w:r>
      <w:r>
        <w:rPr>
          <w:rStyle w:val="Hyperlink.0"/>
        </w:rPr>
        <w:fldChar w:fldCharType="begin" w:fldLock="0"/>
      </w:r>
      <w:r>
        <w:rPr>
          <w:rStyle w:val="Hyperlink.0"/>
        </w:rPr>
        <w:instrText xml:space="preserve"> HYPERLINK "https://globalfreedomofexpression.columbia.edu/cases/glimmerveen-and-hagenbeek-v-the-netherlands/"</w:instrText>
      </w:r>
      <w:r>
        <w:rPr>
          <w:rStyle w:val="Hyperlink.0"/>
        </w:rPr>
        <w:fldChar w:fldCharType="separate" w:fldLock="0"/>
      </w:r>
      <w:r>
        <w:rPr>
          <w:rStyle w:val="Hyperlink.0"/>
          <w:rFonts w:cs="Arial Unicode MS" w:eastAsia="Arial Unicode MS"/>
          <w:rtl w:val="0"/>
        </w:rPr>
        <w:t>https://globalfreedomofexpression.columbia.edu/cases/glimmerveen-and-hagenbeek-v-the-netherlands/</w:t>
      </w:r>
      <w:r>
        <w:rPr/>
        <w:fldChar w:fldCharType="end" w:fldLock="0"/>
      </w:r>
    </w:p>
  </w:footnote>
  <w:footnote w:id="16">
    <w:p>
      <w:pPr>
        <w:pStyle w:val="Footnote Text"/>
      </w:pPr>
      <w:r>
        <w:rPr>
          <w:rStyle w:val="Footnote Reference"/>
        </w:rPr>
        <w:footnoteRef/>
      </w:r>
      <w:r>
        <w:rPr>
          <w:rFonts w:cs="Arial Unicode MS" w:eastAsia="Arial Unicode MS"/>
          <w:rtl w:val="0"/>
          <w:lang w:val="en-US"/>
        </w:rPr>
        <w:t xml:space="preserve"> European Commission against Racism and Intolerance (ECRI): </w:t>
      </w:r>
      <w:r>
        <w:rPr>
          <w:rStyle w:val="Hyperlink.0"/>
        </w:rPr>
        <w:fldChar w:fldCharType="begin" w:fldLock="0"/>
      </w:r>
      <w:r>
        <w:rPr>
          <w:rStyle w:val="Hyperlink.0"/>
        </w:rPr>
        <w:instrText xml:space="preserve"> HYPERLINK "https://www.coe.int/en/web/european-commission-against-racism-and-intolerance"</w:instrText>
      </w:r>
      <w:r>
        <w:rPr>
          <w:rStyle w:val="Hyperlink.0"/>
        </w:rPr>
        <w:fldChar w:fldCharType="separate" w:fldLock="0"/>
      </w:r>
      <w:r>
        <w:rPr>
          <w:rStyle w:val="Hyperlink.0"/>
          <w:rFonts w:cs="Arial Unicode MS" w:eastAsia="Arial Unicode MS"/>
          <w:rtl w:val="0"/>
        </w:rPr>
        <w:t>https://www.coe.int/en/web/european-commission-against-racism-and-intolerance</w:t>
      </w:r>
      <w:r>
        <w:rPr/>
        <w:fldChar w:fldCharType="end" w:fldLock="0"/>
      </w:r>
    </w:p>
  </w:footnote>
  <w:footnote w:id="17">
    <w:p>
      <w:pPr>
        <w:pStyle w:val="Footnote Text"/>
      </w:pPr>
      <w:r>
        <w:rPr>
          <w:rStyle w:val="Footnote Reference"/>
        </w:rPr>
        <w:footnoteRef/>
      </w:r>
      <w:r>
        <w:rPr>
          <w:rFonts w:cs="Arial Unicode MS" w:eastAsia="Arial Unicode MS"/>
          <w:rtl w:val="0"/>
          <w:lang w:val="en-US"/>
        </w:rPr>
        <w:t xml:space="preserve"> ECRI statement on hate speech in Armenia (2012): </w:t>
      </w:r>
      <w:r>
        <w:rPr>
          <w:rStyle w:val="Hyperlink.0"/>
        </w:rPr>
        <w:fldChar w:fldCharType="begin" w:fldLock="0"/>
      </w:r>
      <w:r>
        <w:rPr>
          <w:rStyle w:val="Hyperlink.0"/>
        </w:rPr>
        <w:instrText xml:space="preserve"> HYPERLINK "https://rm.coe.int/statement-by-the-european-commission-against-racism-and-intolerance-ab/16808c1eef"</w:instrText>
      </w:r>
      <w:r>
        <w:rPr>
          <w:rStyle w:val="Hyperlink.0"/>
        </w:rPr>
        <w:fldChar w:fldCharType="separate" w:fldLock="0"/>
      </w:r>
      <w:r>
        <w:rPr>
          <w:rStyle w:val="Hyperlink.0"/>
          <w:rFonts w:cs="Arial Unicode MS" w:eastAsia="Arial Unicode MS"/>
          <w:rtl w:val="0"/>
        </w:rPr>
        <w:t>https://rm.coe.int/statement-by-the-european-commission-against-racism-and-intolerance-ab/16808c1eef</w:t>
      </w:r>
      <w:r>
        <w:rPr/>
        <w:fldChar w:fldCharType="end" w:fldLock="0"/>
      </w:r>
    </w:p>
  </w:footnote>
  <w:footnote w:id="18">
    <w:p>
      <w:pPr>
        <w:pStyle w:val="Footnote Text"/>
      </w:pPr>
      <w:r>
        <w:rPr>
          <w:rStyle w:val="Footnote Reference"/>
        </w:rPr>
        <w:footnoteRef/>
      </w:r>
      <w:r>
        <w:rPr>
          <w:rFonts w:cs="Arial Unicode MS" w:eastAsia="Arial Unicode MS"/>
          <w:rtl w:val="0"/>
          <w:lang w:val="en-US"/>
        </w:rPr>
        <w:t xml:space="preserve"> Parliamentary Assembly of the Council of Europe (PACE): </w:t>
      </w:r>
      <w:r>
        <w:rPr>
          <w:rStyle w:val="Hyperlink.0"/>
        </w:rPr>
        <w:fldChar w:fldCharType="begin" w:fldLock="0"/>
      </w:r>
      <w:r>
        <w:rPr>
          <w:rStyle w:val="Hyperlink.0"/>
        </w:rPr>
        <w:instrText xml:space="preserve"> HYPERLINK "https://pace.coe.int/en/"</w:instrText>
      </w:r>
      <w:r>
        <w:rPr>
          <w:rStyle w:val="Hyperlink.0"/>
        </w:rPr>
        <w:fldChar w:fldCharType="separate" w:fldLock="0"/>
      </w:r>
      <w:r>
        <w:rPr>
          <w:rStyle w:val="Hyperlink.0"/>
          <w:rFonts w:cs="Arial Unicode MS" w:eastAsia="Arial Unicode MS"/>
          <w:rtl w:val="0"/>
        </w:rPr>
        <w:t>https://pace.coe.int/en/</w:t>
      </w:r>
      <w:r>
        <w:rPr/>
        <w:fldChar w:fldCharType="end" w:fldLock="0"/>
      </w:r>
    </w:p>
  </w:footnote>
  <w:footnote w:id="19">
    <w:p>
      <w:pPr>
        <w:pStyle w:val="Footnote Text"/>
      </w:pPr>
      <w:r>
        <w:rPr>
          <w:rStyle w:val="Footnote Reference"/>
        </w:rPr>
        <w:footnoteRef/>
      </w:r>
      <w:r>
        <w:rPr>
          <w:rFonts w:cs="Arial Unicode MS" w:eastAsia="Arial Unicode MS"/>
          <w:rtl w:val="0"/>
          <w:lang w:val="en-US"/>
        </w:rPr>
        <w:t xml:space="preserve"> 2021 Joint Declaration on Freedom of Expression and Political Speech: </w:t>
      </w:r>
      <w:r>
        <w:rPr>
          <w:rStyle w:val="Hyperlink.0"/>
        </w:rPr>
        <w:fldChar w:fldCharType="begin" w:fldLock="0"/>
      </w:r>
      <w:r>
        <w:rPr>
          <w:rStyle w:val="Hyperlink.0"/>
        </w:rPr>
        <w:instrText xml:space="preserve"> HYPERLINK "https://www.osce.org/representative-on-freedom-of-media/501697"</w:instrText>
      </w:r>
      <w:r>
        <w:rPr>
          <w:rStyle w:val="Hyperlink.0"/>
        </w:rPr>
        <w:fldChar w:fldCharType="separate" w:fldLock="0"/>
      </w:r>
      <w:r>
        <w:rPr>
          <w:rStyle w:val="Hyperlink.0"/>
          <w:rFonts w:cs="Arial Unicode MS" w:eastAsia="Arial Unicode MS"/>
          <w:rtl w:val="0"/>
        </w:rPr>
        <w:t>https://www.osce.org/representative-on-freedom-of-media/501697</w:t>
      </w:r>
      <w:r>
        <w:rPr/>
        <w:fldChar w:fldCharType="end" w:fldLock="0"/>
      </w:r>
    </w:p>
  </w:footnote>
  <w:footnote w:id="20">
    <w:p>
      <w:pPr>
        <w:pStyle w:val="Footnote Text"/>
      </w:pPr>
      <w:r>
        <w:rPr>
          <w:rStyle w:val="Footnote Reference"/>
        </w:rPr>
        <w:footnoteRef/>
      </w:r>
      <w:r>
        <w:rPr>
          <w:rFonts w:cs="Arial Unicode MS" w:eastAsia="Arial Unicode MS"/>
          <w:rtl w:val="0"/>
          <w:lang w:val="en-US"/>
        </w:rPr>
        <w:t xml:space="preserve"> Office for Democratic Institutions and Human Rights (ODIHR), OSCE: </w:t>
      </w:r>
      <w:r>
        <w:rPr>
          <w:rStyle w:val="Hyperlink.0"/>
        </w:rPr>
        <w:fldChar w:fldCharType="begin" w:fldLock="0"/>
      </w:r>
      <w:r>
        <w:rPr>
          <w:rStyle w:val="Hyperlink.0"/>
        </w:rPr>
        <w:instrText xml:space="preserve"> HYPERLINK "https://www.osce.org/odihr"</w:instrText>
      </w:r>
      <w:r>
        <w:rPr>
          <w:rStyle w:val="Hyperlink.0"/>
        </w:rPr>
        <w:fldChar w:fldCharType="separate" w:fldLock="0"/>
      </w:r>
      <w:r>
        <w:rPr>
          <w:rStyle w:val="Hyperlink.0"/>
          <w:rFonts w:cs="Arial Unicode MS" w:eastAsia="Arial Unicode MS"/>
          <w:rtl w:val="0"/>
        </w:rPr>
        <w:t>https://www.osce.org/odihr</w:t>
      </w:r>
      <w:r>
        <w:rPr/>
        <w:fldChar w:fldCharType="end" w:fldLock="0"/>
      </w:r>
    </w:p>
  </w:footnote>
  <w:footnote w:id="21">
    <w:p>
      <w:pPr>
        <w:pStyle w:val="Footnote Text"/>
      </w:pPr>
      <w:r>
        <w:rPr>
          <w:rStyle w:val="Footnote Reference"/>
        </w:rPr>
        <w:footnoteRef/>
      </w:r>
      <w:r>
        <w:rPr>
          <w:rFonts w:cs="Arial Unicode MS" w:eastAsia="Arial Unicode MS"/>
          <w:rtl w:val="0"/>
          <w:lang w:val="en-US"/>
        </w:rPr>
        <w:t xml:space="preserve"> International Covenant on Civil and Political Rights (ICCPR): </w:t>
      </w:r>
      <w:r>
        <w:rPr>
          <w:rStyle w:val="Hyperlink.0"/>
        </w:rPr>
        <w:fldChar w:fldCharType="begin" w:fldLock="0"/>
      </w:r>
      <w:r>
        <w:rPr>
          <w:rStyle w:val="Hyperlink.0"/>
        </w:rPr>
        <w:instrText xml:space="preserve"> HYPERLINK "https://www.ohchr.org/en/instruments-mechanisms/instruments/international-covenant-civil-and-political-rights"</w:instrText>
      </w:r>
      <w:r>
        <w:rPr>
          <w:rStyle w:val="Hyperlink.0"/>
        </w:rPr>
        <w:fldChar w:fldCharType="separate" w:fldLock="0"/>
      </w:r>
      <w:r>
        <w:rPr>
          <w:rStyle w:val="Hyperlink.0"/>
          <w:rFonts w:cs="Arial Unicode MS" w:eastAsia="Arial Unicode MS"/>
          <w:rtl w:val="0"/>
        </w:rPr>
        <w:t>https://www.ohchr.org/en/instruments-mechanisms/instruments/international-covenant-civil-and-political-rights</w:t>
      </w:r>
      <w:r>
        <w:rPr/>
        <w:fldChar w:fldCharType="end" w:fldLock="0"/>
      </w:r>
    </w:p>
  </w:footnote>
  <w:footnote w:id="22">
    <w:p>
      <w:pPr>
        <w:pStyle w:val="Footnote Text"/>
      </w:pPr>
      <w:r>
        <w:rPr>
          <w:rStyle w:val="Footnote Reference"/>
        </w:rPr>
        <w:footnoteRef/>
      </w:r>
      <w:r>
        <w:rPr>
          <w:rFonts w:cs="Arial Unicode MS" w:eastAsia="Arial Unicode MS"/>
          <w:rtl w:val="0"/>
          <w:lang w:val="en-US"/>
        </w:rPr>
        <w:t xml:space="preserve"> International Convention on the Elimination of All Forms of Racial Discrimination (ICERD): </w:t>
      </w:r>
      <w:r>
        <w:rPr>
          <w:rStyle w:val="Hyperlink.0"/>
        </w:rPr>
        <w:fldChar w:fldCharType="begin" w:fldLock="0"/>
      </w:r>
      <w:r>
        <w:rPr>
          <w:rStyle w:val="Hyperlink.0"/>
        </w:rPr>
        <w:instrText xml:space="preserve"> HYPERLINK "https://www.ohchr.org/en/instruments-mechanisms/instruments/international-convention-elimination-all-forms-racial"</w:instrText>
      </w:r>
      <w:r>
        <w:rPr>
          <w:rStyle w:val="Hyperlink.0"/>
        </w:rPr>
        <w:fldChar w:fldCharType="separate" w:fldLock="0"/>
      </w:r>
      <w:r>
        <w:rPr>
          <w:rStyle w:val="Hyperlink.0"/>
          <w:rFonts w:cs="Arial Unicode MS" w:eastAsia="Arial Unicode MS"/>
          <w:rtl w:val="0"/>
        </w:rPr>
        <w:t>https://www.ohchr.org/en/instruments-mechanisms/instruments/international-convention-elimination-all-forms-racial</w:t>
      </w:r>
      <w:r>
        <w:rPr/>
        <w:fldChar w:fldCharType="end" w:fldLock="0"/>
      </w:r>
    </w:p>
  </w:footnote>
  <w:footnote w:id="23">
    <w:p>
      <w:pPr>
        <w:pStyle w:val="Footnote Text"/>
      </w:pPr>
      <w:r>
        <w:rPr>
          <w:rStyle w:val="Footnote Reference"/>
        </w:rPr>
        <w:footnoteRef/>
      </w:r>
      <w:r>
        <w:rPr>
          <w:rFonts w:cs="Arial Unicode MS" w:eastAsia="Arial Unicode MS"/>
          <w:rtl w:val="0"/>
          <w:lang w:val="en-US"/>
        </w:rPr>
        <w:t xml:space="preserve"> UN Special Rapporteur on Minority Issues: </w:t>
      </w:r>
      <w:r>
        <w:rPr>
          <w:rStyle w:val="Hyperlink.0"/>
        </w:rPr>
        <w:fldChar w:fldCharType="begin" w:fldLock="0"/>
      </w:r>
      <w:r>
        <w:rPr>
          <w:rStyle w:val="Hyperlink.0"/>
        </w:rPr>
        <w:instrText xml:space="preserve"> HYPERLINK "https://www.ohchr.org/en/special-procedures/sr-minority-issues"</w:instrText>
      </w:r>
      <w:r>
        <w:rPr>
          <w:rStyle w:val="Hyperlink.0"/>
        </w:rPr>
        <w:fldChar w:fldCharType="separate" w:fldLock="0"/>
      </w:r>
      <w:r>
        <w:rPr>
          <w:rStyle w:val="Hyperlink.0"/>
          <w:rFonts w:cs="Arial Unicode MS" w:eastAsia="Arial Unicode MS"/>
          <w:rtl w:val="0"/>
        </w:rPr>
        <w:t>https://www.ohchr.org/en/special-procedures/sr-minority-issues</w:t>
      </w:r>
      <w:r>
        <w:rPr/>
        <w:fldChar w:fldCharType="end" w:fldLock="0"/>
      </w:r>
    </w:p>
  </w:footnote>
  <w:footnote w:id="24">
    <w:p>
      <w:pPr>
        <w:pStyle w:val="Footnote Text"/>
      </w:pPr>
      <w:r>
        <w:rPr>
          <w:rStyle w:val="Footnote Reference"/>
        </w:rPr>
        <w:footnoteRef/>
      </w:r>
      <w:r>
        <w:rPr>
          <w:rFonts w:cs="Arial Unicode MS" w:eastAsia="Arial Unicode MS"/>
          <w:rtl w:val="0"/>
          <w:lang w:val="en-US"/>
        </w:rPr>
        <w:t xml:space="preserve"> Law on the Corruption Prevention Commission (CPC): </w:t>
      </w:r>
      <w:r>
        <w:rPr>
          <w:rStyle w:val="Hyperlink.0"/>
        </w:rPr>
        <w:fldChar w:fldCharType="begin" w:fldLock="0"/>
      </w:r>
      <w:r>
        <w:rPr>
          <w:rStyle w:val="Hyperlink.0"/>
        </w:rPr>
        <w:instrText xml:space="preserve"> HYPERLINK "http://www.parliament.am/legislation.php?sel=show&amp;ID=5831&amp;lang=arm&amp;enc=utf8"</w:instrText>
      </w:r>
      <w:r>
        <w:rPr>
          <w:rStyle w:val="Hyperlink.0"/>
        </w:rPr>
        <w:fldChar w:fldCharType="separate" w:fldLock="0"/>
      </w:r>
      <w:r>
        <w:rPr>
          <w:rStyle w:val="Hyperlink.0"/>
          <w:rFonts w:cs="Arial Unicode MS" w:eastAsia="Arial Unicode MS"/>
          <w:rtl w:val="0"/>
        </w:rPr>
        <w:t>http://www.parliament.am/legislation.php?sel=show&amp;ID=5831&amp;lang=arm&amp;enc=utf8</w:t>
      </w:r>
      <w:r>
        <w:rPr/>
        <w:fldChar w:fldCharType="end" w:fldLock="0"/>
      </w:r>
    </w:p>
  </w:footnote>
</w:footnotes>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Imported Style 1"/>
  </w:abstractNum>
  <w:abstractNum w:abstractNumId="1">
    <w:multiLevelType w:val="hybridMultilevel"/>
    <w:styleLink w:val="Imported Style 1"/>
    <w:lvl w:ilvl="0">
      <w:start w:val="1"/>
      <w:numFmt w:val="decimal"/>
      <w:suff w:val="tab"/>
      <w:lvlText w:val="%1."/>
      <w:lvlJc w:val="left"/>
      <w:pPr>
        <w:ind w:left="720" w:hanging="48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2."/>
      <w:lvlJc w:val="left"/>
      <w:pPr>
        <w:ind w:left="1440" w:hanging="48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tab"/>
      <w:lvlText w:val="%3."/>
      <w:lvlJc w:val="left"/>
      <w:pPr>
        <w:ind w:left="2160" w:hanging="48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2880" w:hanging="48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tab"/>
      <w:lvlText w:val="%5."/>
      <w:lvlJc w:val="left"/>
      <w:pPr>
        <w:ind w:left="3600" w:hanging="48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tab"/>
      <w:lvlText w:val="%6."/>
      <w:lvlJc w:val="left"/>
      <w:pPr>
        <w:ind w:left="4320" w:hanging="48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5040" w:hanging="48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tab"/>
      <w:lvlText w:val="%8."/>
      <w:lvlJc w:val="left"/>
      <w:pPr>
        <w:ind w:left="5760" w:hanging="48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tab"/>
      <w:lvlText w:val="%9."/>
      <w:lvlJc w:val="left"/>
      <w:pPr>
        <w:ind w:left="6480" w:hanging="480"/>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footnotePr>
    <w:numFmt w:val="decimal"/>
    <w:numStart w:val="1"/>
    <w:numRestart w:val="continuous"/>
    <w:footnote w:id="-1"/>
    <w:footnote w:id="0"/>
    <w:footnote w:id="-2"/>
  </w:footnotePr>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Heading">
    <w:name w:val="Heading"/>
    <w:next w:val="Body Text"/>
    <w:pPr>
      <w:keepNext w:val="1"/>
      <w:keepLines w:val="1"/>
      <w:pageBreakBefore w:val="0"/>
      <w:widowControl w:val="1"/>
      <w:shd w:val="clear" w:color="auto" w:fill="auto"/>
      <w:suppressAutoHyphens w:val="0"/>
      <w:bidi w:val="0"/>
      <w:spacing w:before="480" w:after="0" w:line="240" w:lineRule="auto"/>
      <w:ind w:left="0" w:right="0" w:firstLine="0"/>
      <w:jc w:val="left"/>
      <w:outlineLvl w:val="0"/>
    </w:pPr>
    <w:rPr>
      <w:rFonts w:ascii="Calibri" w:cs="Arial Unicode MS" w:hAnsi="Calibri" w:eastAsia="Arial Unicode MS"/>
      <w:b w:val="1"/>
      <w:bCs w:val="1"/>
      <w:i w:val="0"/>
      <w:iCs w:val="0"/>
      <w:caps w:val="0"/>
      <w:smallCaps w:val="0"/>
      <w:strike w:val="0"/>
      <w:dstrike w:val="0"/>
      <w:outline w:val="0"/>
      <w:color w:val="4f81bd"/>
      <w:spacing w:val="0"/>
      <w:kern w:val="0"/>
      <w:position w:val="0"/>
      <w:sz w:val="32"/>
      <w:szCs w:val="32"/>
      <w:u w:val="none" w:color="4f81bd"/>
      <w:shd w:val="nil" w:color="auto" w:fill="auto"/>
      <w:vertAlign w:val="baseline"/>
      <w14:textOutline>
        <w14:noFill/>
      </w14:textOutline>
      <w14:textFill>
        <w14:solidFill>
          <w14:srgbClr w14:val="4F81BD"/>
        </w14:solidFill>
      </w14:textFill>
    </w:rPr>
  </w:style>
  <w:style w:type="paragraph" w:styleId="Body Text">
    <w:name w:val="Body Text"/>
    <w:next w:val="Body Text"/>
    <w:pPr>
      <w:keepNext w:val="0"/>
      <w:keepLines w:val="0"/>
      <w:pageBreakBefore w:val="0"/>
      <w:widowControl w:val="1"/>
      <w:shd w:val="clear" w:color="auto" w:fill="auto"/>
      <w:suppressAutoHyphens w:val="0"/>
      <w:bidi w:val="0"/>
      <w:spacing w:before="180" w:after="180" w:line="240" w:lineRule="auto"/>
      <w:ind w:left="0" w:right="0" w:firstLine="0"/>
      <w:jc w:val="left"/>
      <w:outlineLvl w:val="9"/>
    </w:pPr>
    <w:rPr>
      <w:rFonts w:ascii="Cambria" w:cs="Arial Unicode MS" w:hAnsi="Cambria"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en-US"/>
      <w14:textFill>
        <w14:solidFill>
          <w14:srgbClr w14:val="000000"/>
        </w14:solidFill>
      </w14:textFill>
    </w:rPr>
  </w:style>
  <w:style w:type="paragraph" w:styleId="First Paragraph">
    <w:name w:val="First Paragraph"/>
    <w:next w:val="Body Text"/>
    <w:pPr>
      <w:keepNext w:val="0"/>
      <w:keepLines w:val="0"/>
      <w:pageBreakBefore w:val="0"/>
      <w:widowControl w:val="1"/>
      <w:shd w:val="clear" w:color="auto" w:fill="auto"/>
      <w:suppressAutoHyphens w:val="0"/>
      <w:bidi w:val="0"/>
      <w:spacing w:before="180" w:after="180" w:line="240" w:lineRule="auto"/>
      <w:ind w:left="0" w:right="0" w:firstLine="0"/>
      <w:jc w:val="left"/>
      <w:outlineLvl w:val="9"/>
    </w:pPr>
    <w:rPr>
      <w:rFonts w:ascii="Cambria" w:cs="Arial Unicode MS" w:hAnsi="Cambria"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en-US"/>
      <w14:textFill>
        <w14:solidFill>
          <w14:srgbClr w14:val="000000"/>
        </w14:solidFill>
      </w14:textFill>
    </w:rPr>
  </w:style>
  <w:style w:type="character" w:styleId="Footnote Reference">
    <w:name w:val="Footnote Reference"/>
    <w:rPr>
      <w:vertAlign w:val="superscript"/>
    </w:rPr>
  </w:style>
  <w:style w:type="paragraph" w:styleId="Footnote Text">
    <w:name w:val="Footnote Text"/>
    <w:next w:val="Footnote Text"/>
    <w:pPr>
      <w:keepNext w:val="0"/>
      <w:keepLines w:val="0"/>
      <w:pageBreakBefore w:val="0"/>
      <w:widowControl w:val="1"/>
      <w:shd w:val="clear" w:color="auto" w:fill="auto"/>
      <w:suppressAutoHyphens w:val="0"/>
      <w:bidi w:val="0"/>
      <w:spacing w:before="0" w:after="200" w:line="240" w:lineRule="auto"/>
      <w:ind w:left="0" w:right="0" w:firstLine="0"/>
      <w:jc w:val="left"/>
      <w:outlineLvl w:val="9"/>
    </w:pPr>
    <w:rPr>
      <w:rFonts w:ascii="Cambria" w:cs="Cambria" w:hAnsi="Cambria" w:eastAsia="Cambria"/>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en-US"/>
      <w14:textFill>
        <w14:solidFill>
          <w14:srgbClr w14:val="000000"/>
        </w14:solidFill>
      </w14:textFill>
    </w:rPr>
  </w:style>
  <w:style w:type="character" w:styleId="Hyperlink.0">
    <w:name w:val="Hyperlink.0"/>
    <w:basedOn w:val="Hyperlink"/>
    <w:next w:val="Hyperlink.0"/>
    <w:rPr>
      <w:outline w:val="0"/>
      <w:color w:val="4f81bd"/>
      <w:u w:val="single" w:color="4f81bd"/>
      <w14:textFill>
        <w14:solidFill>
          <w14:srgbClr w14:val="4F81BD"/>
        </w14:solidFill>
      </w14:textFill>
    </w:rPr>
  </w:style>
  <w:style w:type="paragraph" w:styleId="Body">
    <w:name w:val="Body"/>
    <w:next w:val="Body"/>
    <w:pPr>
      <w:keepNext w:val="0"/>
      <w:keepLines w:val="0"/>
      <w:pageBreakBefore w:val="0"/>
      <w:widowControl w:val="1"/>
      <w:shd w:val="clear" w:color="auto" w:fill="auto"/>
      <w:suppressAutoHyphens w:val="0"/>
      <w:bidi w:val="0"/>
      <w:spacing w:before="0" w:after="200" w:line="240" w:lineRule="auto"/>
      <w:ind w:left="0" w:right="0" w:firstLine="0"/>
      <w:jc w:val="left"/>
      <w:outlineLvl w:val="9"/>
    </w:pPr>
    <w:rPr>
      <w:rFonts w:ascii="Cambria" w:cs="Cambria" w:hAnsi="Cambria" w:eastAsia="Cambria"/>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14:textOutline>
        <w14:noFill/>
      </w14:textOutline>
      <w14:textFill>
        <w14:solidFill>
          <w14:srgbClr w14:val="000000"/>
        </w14:solidFill>
      </w14:textFill>
    </w:rPr>
  </w:style>
  <w:style w:type="paragraph" w:styleId="Heading 2">
    <w:name w:val="Heading 2"/>
    <w:next w:val="Body Text"/>
    <w:pPr>
      <w:keepNext w:val="1"/>
      <w:keepLines w:val="1"/>
      <w:pageBreakBefore w:val="0"/>
      <w:widowControl w:val="1"/>
      <w:shd w:val="clear" w:color="auto" w:fill="auto"/>
      <w:suppressAutoHyphens w:val="0"/>
      <w:bidi w:val="0"/>
      <w:spacing w:before="200" w:after="0" w:line="240" w:lineRule="auto"/>
      <w:ind w:left="0" w:right="0" w:firstLine="0"/>
      <w:jc w:val="left"/>
      <w:outlineLvl w:val="1"/>
    </w:pPr>
    <w:rPr>
      <w:rFonts w:ascii="Calibri" w:cs="Calibri" w:hAnsi="Calibri" w:eastAsia="Calibri"/>
      <w:b w:val="1"/>
      <w:bCs w:val="1"/>
      <w:i w:val="0"/>
      <w:iCs w:val="0"/>
      <w:caps w:val="0"/>
      <w:smallCaps w:val="0"/>
      <w:strike w:val="0"/>
      <w:dstrike w:val="0"/>
      <w:outline w:val="0"/>
      <w:color w:val="4f81bd"/>
      <w:spacing w:val="0"/>
      <w:kern w:val="0"/>
      <w:position w:val="0"/>
      <w:sz w:val="28"/>
      <w:szCs w:val="28"/>
      <w:u w:val="none" w:color="4f81bd"/>
      <w:shd w:val="nil" w:color="auto" w:fill="auto"/>
      <w:vertAlign w:val="baseline"/>
      <w14:textOutline>
        <w14:noFill/>
      </w14:textOutline>
      <w14:textFill>
        <w14:solidFill>
          <w14:srgbClr w14:val="4F81BD"/>
        </w14:solidFill>
      </w14:textFill>
    </w:rPr>
  </w:style>
  <w:style w:type="paragraph" w:styleId="Heading 3">
    <w:name w:val="Heading 3"/>
    <w:next w:val="Body Text"/>
    <w:pPr>
      <w:keepNext w:val="1"/>
      <w:keepLines w:val="1"/>
      <w:pageBreakBefore w:val="0"/>
      <w:widowControl w:val="1"/>
      <w:shd w:val="clear" w:color="auto" w:fill="auto"/>
      <w:suppressAutoHyphens w:val="0"/>
      <w:bidi w:val="0"/>
      <w:spacing w:before="200" w:after="0" w:line="240" w:lineRule="auto"/>
      <w:ind w:left="0" w:right="0" w:firstLine="0"/>
      <w:jc w:val="left"/>
      <w:outlineLvl w:val="2"/>
    </w:pPr>
    <w:rPr>
      <w:rFonts w:ascii="Calibri" w:cs="Calibri" w:hAnsi="Calibri" w:eastAsia="Calibri"/>
      <w:b w:val="1"/>
      <w:bCs w:val="1"/>
      <w:i w:val="0"/>
      <w:iCs w:val="0"/>
      <w:caps w:val="0"/>
      <w:smallCaps w:val="0"/>
      <w:strike w:val="0"/>
      <w:dstrike w:val="0"/>
      <w:outline w:val="0"/>
      <w:color w:val="4f81bd"/>
      <w:spacing w:val="0"/>
      <w:kern w:val="0"/>
      <w:position w:val="0"/>
      <w:sz w:val="24"/>
      <w:szCs w:val="24"/>
      <w:u w:val="none" w:color="4f81bd"/>
      <w:shd w:val="nil" w:color="auto" w:fill="auto"/>
      <w:vertAlign w:val="baseline"/>
      <w14:textOutline>
        <w14:noFill/>
      </w14:textOutline>
      <w14:textFill>
        <w14:solidFill>
          <w14:srgbClr w14:val="4F81BD"/>
        </w14:solidFill>
      </w14:textFill>
    </w:rPr>
  </w:style>
  <w:style w:type="paragraph" w:styleId="Compact">
    <w:name w:val="Compact"/>
    <w:next w:val="Compact"/>
    <w:pPr>
      <w:keepNext w:val="0"/>
      <w:keepLines w:val="0"/>
      <w:pageBreakBefore w:val="0"/>
      <w:widowControl w:val="1"/>
      <w:shd w:val="clear" w:color="auto" w:fill="auto"/>
      <w:suppressAutoHyphens w:val="0"/>
      <w:bidi w:val="0"/>
      <w:spacing w:before="36" w:after="36" w:line="240" w:lineRule="auto"/>
      <w:ind w:left="0" w:right="0" w:firstLine="0"/>
      <w:jc w:val="left"/>
      <w:outlineLvl w:val="9"/>
    </w:pPr>
    <w:rPr>
      <w:rFonts w:ascii="Cambria" w:cs="Arial Unicode MS" w:hAnsi="Cambria"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en-US"/>
      <w14:textFill>
        <w14:solidFill>
          <w14:srgbClr w14:val="000000"/>
        </w14:solidFill>
      </w14:textFill>
    </w:rPr>
  </w:style>
  <w:style w:type="numbering" w:styleId="Imported Style 1">
    <w:name w:val="Imported Style 1"/>
    <w:pPr>
      <w:numPr>
        <w:numId w:val="1"/>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footnotes" Target="footnotes.xml"/><Relationship Id="rId7" Type="http://schemas.openxmlformats.org/officeDocument/2006/relationships/numbering" Target="numbering.xml"/><Relationship Id="rId8"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0000" dir="540000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sx="100000" sy="100000" kx="0" ky="0" algn="b" rotWithShape="0" blurRad="38100" dist="23000" dir="5400000">
            <a:srgbClr val="000000">
              <a:alpha val="35000"/>
            </a:srgbClr>
          </a:outerShdw>
        </a:effectLst>
        <a:sp3d/>
      </a:spPr>
      <a:bodyPr rot="0" spcFirstLastPara="1" vertOverflow="overflow" horzOverflow="overflow" vert="horz" wrap="square" lIns="45719" tIns="45719" rIns="45719" bIns="45719"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0000" dir="5400000">
            <a:srgbClr val="000000">
              <a:alpha val="38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